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170F3">
      <w:pPr>
        <w:pStyle w:val="3"/>
        <w:pageBreakBefore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附件1：</w:t>
      </w:r>
    </w:p>
    <w:p w14:paraId="5B737C8D">
      <w:pPr>
        <w:pageBreakBefore w:val="0"/>
        <w:wordWrap/>
        <w:topLinePunct w:val="0"/>
        <w:bidi w:val="0"/>
        <w:snapToGrid/>
        <w:spacing w:line="520" w:lineRule="atLeast"/>
        <w:jc w:val="center"/>
        <w:rPr>
          <w:rFonts w:hint="eastAsia" w:ascii="方正公文小标宋" w:hAnsi="方正公文小标宋" w:eastAsia="方正公文小标宋" w:cs="方正公文小标宋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</w:pPr>
      <w:bookmarkStart w:id="11" w:name="_GoBack"/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  <w:t>公交车车厢电子屏技术及</w:t>
      </w: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安装</w:t>
      </w: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  <w:t>要求</w:t>
      </w:r>
      <w:bookmarkEnd w:id="11"/>
    </w:p>
    <w:p w14:paraId="58222F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shd w:val="clear" w:color="auto" w:fill="auto"/>
        </w:rPr>
        <w:t>一、车载LCD导乘屏信息发布安全要求</w:t>
      </w:r>
    </w:p>
    <w:p w14:paraId="7D3876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平台数据加密传输，节目发布多级权限审核限制，终端密码保护。</w:t>
      </w:r>
    </w:p>
    <w:p w14:paraId="3BB703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shd w:val="clear" w:color="auto" w:fill="auto"/>
        </w:rPr>
        <w:t>二、LCD导乘屏要求</w:t>
      </w:r>
    </w:p>
    <w:p w14:paraId="628F43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车载站节屏采用LCD非切割条形液晶屏替代原有纸贴显示线路、站点单一显示方式，实现乘客出行信息的智能显示。具有显示线路走向、</w:t>
      </w:r>
      <w:bookmarkStart w:id="0" w:name="OLE_LINK2"/>
      <w:bookmarkStart w:id="1" w:name="OLE_LINK1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实时</w:t>
      </w:r>
      <w:bookmarkEnd w:id="0"/>
      <w:bookmarkEnd w:id="1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到站、公益宣传播放、广告播放等功能；具有一键更换线路信息，并满足跨线路调车业务需求；采用统一的管理平台满足多种信息的远程发布和管理；</w:t>
      </w:r>
      <w:bookmarkStart w:id="2" w:name="OLE_LINK14"/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产品经过高低温、抗震等模拟车上环境老化测试，有效保障运营过程中的高可靠性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，减少维护工作。</w:t>
      </w:r>
    </w:p>
    <w:bookmarkEnd w:id="2"/>
    <w:p w14:paraId="13213E82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（一）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线路显示/报站</w:t>
      </w:r>
    </w:p>
    <w:p w14:paraId="5E242564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应与智能调度系统及车载终端实现无缝对接，实现站点信息的实时报站，以及线路总览，到站提示、下一站预报、左右侧开门提示、线路运营信息、可换乘信息显示，一键切换线路信息，并可实时站点区别显示；可容纳100条线路站点信息，单线路支持至少80个站点显示，满足跨线路调车等业务需求；实现报站信息与公益宣传、广告信息融合播报，报站语音优先广告语音，不影响报站语音播报；</w:t>
      </w:r>
    </w:p>
    <w:p w14:paraId="719BCE02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（二）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公告/通知等信息</w:t>
      </w:r>
    </w:p>
    <w:p w14:paraId="48FB275F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应满足通知公告等信息的显示（实时路况拥堵信息</w:t>
      </w:r>
      <w:bookmarkStart w:id="3" w:name="OLE_LINK3"/>
      <w:bookmarkStart w:id="4" w:name="OLE_LINK4"/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、</w:t>
      </w:r>
      <w:bookmarkEnd w:id="3"/>
      <w:bookmarkEnd w:id="4"/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改线通知、站点增减），安全出行温馨提醒、文明宣传语、公交车乘坐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规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则等公益实时通知等信息；</w:t>
      </w:r>
    </w:p>
    <w:p w14:paraId="29A81922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（三）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广告媒体信息精准播放</w:t>
      </w:r>
    </w:p>
    <w:p w14:paraId="3BF38B8F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终端应能实现按时间、按线路、按车辆、按</w:t>
      </w:r>
      <w:bookmarkStart w:id="5" w:name="OLE_LINK6"/>
      <w:bookmarkStart w:id="6" w:name="OLE_LINK5"/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站点</w:t>
      </w:r>
      <w:bookmarkEnd w:id="5"/>
      <w:bookmarkEnd w:id="6"/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shd w:val="clear" w:color="auto" w:fill="auto"/>
        </w:rPr>
        <w:t>、按设备等多种属性组合下发播放广告，实现视频信息的精准推广的目的；支持多种格式的媒体信息的播放，媒体资源含有：视频、图片、文字信息；支持媒体信息的自动下发播放、远程效果监控、失效自动关闭等功能；</w:t>
      </w:r>
    </w:p>
    <w:p w14:paraId="656BA80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四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升级维护方便</w:t>
      </w:r>
    </w:p>
    <w:p w14:paraId="4C659D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A.支持采用统一的管理平台，实现信息的发布更新平台统一管理；</w:t>
      </w:r>
    </w:p>
    <w:p w14:paraId="2AB1A5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B.支持程序U盘升级或远程更新升级</w:t>
      </w:r>
      <w:bookmarkStart w:id="7" w:name="OLE_LINK15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；</w:t>
      </w:r>
      <w:bookmarkEnd w:id="7"/>
    </w:p>
    <w:p w14:paraId="6A8A50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C.出厂预装，显示程序模块化，方便内容的调整和升级；</w:t>
      </w:r>
    </w:p>
    <w:tbl>
      <w:tblPr>
        <w:tblStyle w:val="4"/>
        <w:tblpPr w:leftFromText="180" w:rightFromText="180" w:vertAnchor="text" w:horzAnchor="page" w:tblpX="2028" w:tblpY="866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15"/>
        <w:gridCol w:w="6465"/>
      </w:tblGrid>
      <w:tr w14:paraId="09419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FFFFFF"/>
            <w:noWrap w:val="0"/>
            <w:vAlign w:val="center"/>
          </w:tcPr>
          <w:p w14:paraId="6DEF3CAD"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615" w:type="dxa"/>
            <w:shd w:val="clear" w:color="auto" w:fill="FFFFFF"/>
            <w:noWrap w:val="0"/>
            <w:vAlign w:val="center"/>
          </w:tcPr>
          <w:p w14:paraId="76AEDDAB"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highlight w:val="none"/>
                <w:shd w:val="clear" w:color="auto" w:fill="auto"/>
              </w:rPr>
              <w:t>指标</w:t>
            </w:r>
          </w:p>
        </w:tc>
        <w:tc>
          <w:tcPr>
            <w:tcW w:w="6465" w:type="dxa"/>
            <w:shd w:val="clear" w:color="auto" w:fill="FFFFFF"/>
            <w:noWrap w:val="0"/>
            <w:vAlign w:val="center"/>
          </w:tcPr>
          <w:p w14:paraId="60DD92E7">
            <w:pPr>
              <w:ind w:firstLine="422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shd w:val="clear" w:color="auto" w:fill="auto"/>
              </w:rPr>
              <w:t>技术规格</w:t>
            </w:r>
          </w:p>
        </w:tc>
      </w:tr>
      <w:tr w14:paraId="515F9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D4C4E9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</w:t>
            </w:r>
          </w:p>
        </w:tc>
        <w:tc>
          <w:tcPr>
            <w:tcW w:w="1615" w:type="dxa"/>
            <w:noWrap w:val="0"/>
            <w:vAlign w:val="center"/>
          </w:tcPr>
          <w:p w14:paraId="6BFF30F7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总体功能要求</w:t>
            </w:r>
          </w:p>
        </w:tc>
        <w:tc>
          <w:tcPr>
            <w:tcW w:w="6465" w:type="dxa"/>
            <w:noWrap w:val="0"/>
            <w:vAlign w:val="center"/>
          </w:tcPr>
          <w:p w14:paraId="0C132189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显示内容应包含单不限于：公交车线路名称、行驶方向、起点站和终点站、首末班时间、时间和日期、天气、全部站点的线路信息、到站通知、下一站点通知、可换乘信息、开门提示信息、广告视频/图片/文字、紧急通知、路况通知消息、广告播放、公交车乘坐法则等信息；</w:t>
            </w:r>
          </w:p>
          <w:p w14:paraId="62D57F44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视频文件格式：mp4.avi.3gp.rmvb等，图片文件格式：jpg.jpeg.png等；</w:t>
            </w:r>
          </w:p>
          <w:p w14:paraId="21E778B6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实现与智能调度系统及车载终端的无缝对接，页面显示可需求化定制，能够智能识别站点数据，根据站点名称长度和线路站点数量，自动调整显示画面，可线路折线显示、线路直线显示、环形显示等多种显示方式；</w:t>
            </w:r>
          </w:p>
          <w:p w14:paraId="75784B64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站点显示状态随着公交车的行驶过程，站点的实时变化而变化，已驶过的站点与未驶过的站点颜色区别显示，可自动检测显示方式（自由切换有无视频模式）；</w:t>
            </w:r>
          </w:p>
          <w:p w14:paraId="05C32565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配合车辆运营信息，智能更换修改显示线路信息，具有一键切换信息功能，产品性能好、易维护，有效减少维护成本；</w:t>
            </w:r>
          </w:p>
          <w:p w14:paraId="539789DA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外观设计美观，坚固耐用、抗震性能好，采用模块化设计，硬件配置可灵活更换维修、易维护；</w:t>
            </w:r>
          </w:p>
          <w:p w14:paraId="038AD723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远程可操作统一化管理：对多媒体视频广告信息/应用程序等信息进行后台统一化信息升级、分发、修改维护；</w:t>
            </w:r>
          </w:p>
          <w:p w14:paraId="223745FC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可采用U盘升级、预装或后台远程更新升级等多种更新方式；</w:t>
            </w:r>
          </w:p>
          <w:p w14:paraId="20F53F06">
            <w:pPr>
              <w:widowControl/>
              <w:numPr>
                <w:ilvl w:val="0"/>
                <w:numId w:val="1"/>
              </w:numPr>
              <w:spacing w:line="240" w:lineRule="auto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实现报站信息与广告信息融合播报，广告语音不影响报站语音播报；</w:t>
            </w:r>
          </w:p>
        </w:tc>
      </w:tr>
      <w:tr w14:paraId="701EB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DED8CE7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2</w:t>
            </w:r>
          </w:p>
        </w:tc>
        <w:tc>
          <w:tcPr>
            <w:tcW w:w="1615" w:type="dxa"/>
            <w:noWrap w:val="0"/>
            <w:vAlign w:val="center"/>
          </w:tcPr>
          <w:p w14:paraId="4BBDA80C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LCD屏显示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尺寸</w:t>
            </w:r>
          </w:p>
        </w:tc>
        <w:tc>
          <w:tcPr>
            <w:tcW w:w="6465" w:type="dxa"/>
            <w:noWrap w:val="0"/>
            <w:vAlign w:val="center"/>
          </w:tcPr>
          <w:p w14:paraId="37F0DCDE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≥21寸液晶屏</w:t>
            </w:r>
          </w:p>
        </w:tc>
      </w:tr>
      <w:tr w14:paraId="63905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10EBC00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3</w:t>
            </w:r>
          </w:p>
        </w:tc>
        <w:tc>
          <w:tcPr>
            <w:tcW w:w="1615" w:type="dxa"/>
            <w:noWrap w:val="0"/>
            <w:vAlign w:val="center"/>
          </w:tcPr>
          <w:p w14:paraId="7518905E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CPU</w:t>
            </w:r>
          </w:p>
        </w:tc>
        <w:tc>
          <w:tcPr>
            <w:tcW w:w="6465" w:type="dxa"/>
            <w:noWrap w:val="0"/>
            <w:vAlign w:val="center"/>
          </w:tcPr>
          <w:p w14:paraId="6495A8E7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≥双核，1.2GHz</w:t>
            </w:r>
          </w:p>
        </w:tc>
      </w:tr>
      <w:tr w14:paraId="665B9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8A24967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4</w:t>
            </w:r>
          </w:p>
        </w:tc>
        <w:tc>
          <w:tcPr>
            <w:tcW w:w="1615" w:type="dxa"/>
            <w:noWrap w:val="0"/>
            <w:vAlign w:val="center"/>
          </w:tcPr>
          <w:p w14:paraId="4EFE683F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内存RAM</w:t>
            </w:r>
          </w:p>
        </w:tc>
        <w:tc>
          <w:tcPr>
            <w:tcW w:w="6465" w:type="dxa"/>
            <w:noWrap w:val="0"/>
            <w:vAlign w:val="center"/>
          </w:tcPr>
          <w:p w14:paraId="30E9D43F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＞4G</w:t>
            </w:r>
          </w:p>
        </w:tc>
      </w:tr>
      <w:tr w14:paraId="7D208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F7405C7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5</w:t>
            </w:r>
          </w:p>
        </w:tc>
        <w:tc>
          <w:tcPr>
            <w:tcW w:w="1615" w:type="dxa"/>
            <w:noWrap w:val="0"/>
            <w:vAlign w:val="center"/>
          </w:tcPr>
          <w:p w14:paraId="761AB491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背光亮度</w:t>
            </w:r>
          </w:p>
        </w:tc>
        <w:tc>
          <w:tcPr>
            <w:tcW w:w="6465" w:type="dxa"/>
            <w:noWrap w:val="0"/>
            <w:vAlign w:val="center"/>
          </w:tcPr>
          <w:p w14:paraId="373E5A13">
            <w:pPr>
              <w:widowControl/>
              <w:spacing w:line="23" w:lineRule="atLeast"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500-700cd/m2</w:t>
            </w:r>
          </w:p>
        </w:tc>
      </w:tr>
      <w:tr w14:paraId="23B47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D937943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6</w:t>
            </w:r>
          </w:p>
        </w:tc>
        <w:tc>
          <w:tcPr>
            <w:tcW w:w="1615" w:type="dxa"/>
            <w:noWrap w:val="0"/>
            <w:vAlign w:val="center"/>
          </w:tcPr>
          <w:p w14:paraId="107E9131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对比度</w:t>
            </w:r>
          </w:p>
        </w:tc>
        <w:tc>
          <w:tcPr>
            <w:tcW w:w="6465" w:type="dxa"/>
            <w:noWrap w:val="0"/>
            <w:vAlign w:val="center"/>
          </w:tcPr>
          <w:p w14:paraId="60DA8A84">
            <w:pPr>
              <w:widowControl/>
              <w:spacing w:line="23" w:lineRule="atLeast"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1400:1--5000:1</w:t>
            </w:r>
          </w:p>
        </w:tc>
      </w:tr>
      <w:tr w14:paraId="11400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D723B21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7</w:t>
            </w:r>
          </w:p>
        </w:tc>
        <w:tc>
          <w:tcPr>
            <w:tcW w:w="1615" w:type="dxa"/>
            <w:noWrap w:val="0"/>
            <w:vAlign w:val="center"/>
          </w:tcPr>
          <w:p w14:paraId="7DD74E86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分辨率</w:t>
            </w:r>
          </w:p>
        </w:tc>
        <w:tc>
          <w:tcPr>
            <w:tcW w:w="6465" w:type="dxa"/>
            <w:noWrap w:val="0"/>
            <w:vAlign w:val="center"/>
          </w:tcPr>
          <w:p w14:paraId="53BCCB13">
            <w:pPr>
              <w:widowControl/>
              <w:spacing w:line="23" w:lineRule="atLeast"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最大支持1920×540</w:t>
            </w:r>
          </w:p>
        </w:tc>
      </w:tr>
      <w:tr w14:paraId="47104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DA4CC0B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8</w:t>
            </w:r>
          </w:p>
        </w:tc>
        <w:tc>
          <w:tcPr>
            <w:tcW w:w="1615" w:type="dxa"/>
            <w:noWrap w:val="0"/>
            <w:vAlign w:val="center"/>
          </w:tcPr>
          <w:p w14:paraId="12D0871C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响应时间</w:t>
            </w:r>
          </w:p>
        </w:tc>
        <w:tc>
          <w:tcPr>
            <w:tcW w:w="6465" w:type="dxa"/>
            <w:noWrap w:val="0"/>
            <w:vAlign w:val="center"/>
          </w:tcPr>
          <w:p w14:paraId="64B7FBA0">
            <w:pPr>
              <w:widowControl/>
              <w:spacing w:line="23" w:lineRule="atLeast"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≤8ms</w:t>
            </w:r>
          </w:p>
        </w:tc>
      </w:tr>
      <w:tr w14:paraId="7CC76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D27CFEC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9</w:t>
            </w:r>
          </w:p>
        </w:tc>
        <w:tc>
          <w:tcPr>
            <w:tcW w:w="1615" w:type="dxa"/>
            <w:noWrap w:val="0"/>
            <w:vAlign w:val="center"/>
          </w:tcPr>
          <w:p w14:paraId="1DF85779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内置音响</w:t>
            </w:r>
          </w:p>
        </w:tc>
        <w:tc>
          <w:tcPr>
            <w:tcW w:w="6465" w:type="dxa"/>
            <w:noWrap w:val="0"/>
            <w:vAlign w:val="center"/>
          </w:tcPr>
          <w:p w14:paraId="21C8BE27">
            <w:pPr>
              <w:widowControl/>
              <w:spacing w:line="23" w:lineRule="atLeast"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单声道功放≥5W或双声道功放≥2*</w:t>
            </w:r>
            <w:bookmarkStart w:id="8" w:name="OLE_LINK7"/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3W</w:t>
            </w:r>
            <w:bookmarkEnd w:id="8"/>
          </w:p>
        </w:tc>
      </w:tr>
      <w:tr w14:paraId="04765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567FE82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10</w:t>
            </w:r>
          </w:p>
        </w:tc>
        <w:tc>
          <w:tcPr>
            <w:tcW w:w="1615" w:type="dxa"/>
            <w:noWrap w:val="0"/>
            <w:vAlign w:val="center"/>
          </w:tcPr>
          <w:p w14:paraId="6B584237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控制板</w:t>
            </w:r>
          </w:p>
        </w:tc>
        <w:tc>
          <w:tcPr>
            <w:tcW w:w="6465" w:type="dxa"/>
            <w:noWrap w:val="0"/>
            <w:vAlign w:val="center"/>
          </w:tcPr>
          <w:p w14:paraId="0291487E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安卓系统</w:t>
            </w:r>
          </w:p>
        </w:tc>
      </w:tr>
      <w:tr w14:paraId="69AFC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4AAD425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11</w:t>
            </w:r>
          </w:p>
        </w:tc>
        <w:tc>
          <w:tcPr>
            <w:tcW w:w="1615" w:type="dxa"/>
            <w:noWrap w:val="0"/>
            <w:vAlign w:val="center"/>
          </w:tcPr>
          <w:p w14:paraId="7D43B2ED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通信&amp;网络</w:t>
            </w:r>
          </w:p>
        </w:tc>
        <w:tc>
          <w:tcPr>
            <w:tcW w:w="6465" w:type="dxa"/>
            <w:noWrap w:val="0"/>
            <w:vAlign w:val="center"/>
          </w:tcPr>
          <w:p w14:paraId="41CACC84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支持与车载机CAN/485通讯/网络通讯</w:t>
            </w:r>
          </w:p>
        </w:tc>
      </w:tr>
      <w:tr w14:paraId="1073F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BDC819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12</w:t>
            </w:r>
          </w:p>
        </w:tc>
        <w:tc>
          <w:tcPr>
            <w:tcW w:w="1615" w:type="dxa"/>
            <w:noWrap w:val="0"/>
            <w:vAlign w:val="center"/>
          </w:tcPr>
          <w:p w14:paraId="73CB3CE4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工作电压</w:t>
            </w:r>
          </w:p>
        </w:tc>
        <w:tc>
          <w:tcPr>
            <w:tcW w:w="6465" w:type="dxa"/>
            <w:noWrap w:val="0"/>
            <w:vAlign w:val="center"/>
          </w:tcPr>
          <w:p w14:paraId="5AC05B7A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bookmarkStart w:id="9" w:name="OLE_LINK8"/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车载24V可调直流供电（DC+18V--+32V)</w:t>
            </w:r>
            <w:bookmarkEnd w:id="9"/>
          </w:p>
        </w:tc>
      </w:tr>
      <w:tr w14:paraId="4CCEB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817" w:type="dxa"/>
            <w:noWrap w:val="0"/>
            <w:vAlign w:val="center"/>
          </w:tcPr>
          <w:p w14:paraId="5CB39854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13</w:t>
            </w:r>
          </w:p>
        </w:tc>
        <w:tc>
          <w:tcPr>
            <w:tcW w:w="1615" w:type="dxa"/>
            <w:noWrap w:val="0"/>
            <w:vAlign w:val="center"/>
          </w:tcPr>
          <w:p w14:paraId="7B8FEC96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可靠性测试</w:t>
            </w:r>
          </w:p>
        </w:tc>
        <w:tc>
          <w:tcPr>
            <w:tcW w:w="6465" w:type="dxa"/>
            <w:noWrap w:val="0"/>
            <w:vAlign w:val="center"/>
          </w:tcPr>
          <w:p w14:paraId="73BF1CBF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高低温/振动测试、电磁兼容测试</w:t>
            </w:r>
          </w:p>
        </w:tc>
      </w:tr>
      <w:tr w14:paraId="4D4FE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49C0F9F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14</w:t>
            </w:r>
          </w:p>
        </w:tc>
        <w:tc>
          <w:tcPr>
            <w:tcW w:w="1615" w:type="dxa"/>
            <w:noWrap w:val="0"/>
            <w:vAlign w:val="center"/>
          </w:tcPr>
          <w:p w14:paraId="0FCCE492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易维护</w:t>
            </w:r>
          </w:p>
        </w:tc>
        <w:tc>
          <w:tcPr>
            <w:tcW w:w="6465" w:type="dxa"/>
            <w:noWrap w:val="0"/>
            <w:vAlign w:val="center"/>
          </w:tcPr>
          <w:p w14:paraId="483D76CD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采用模块化设计、硬件配置可灵活更换维修、易维护</w:t>
            </w:r>
          </w:p>
        </w:tc>
      </w:tr>
      <w:tr w14:paraId="544E3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392B185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15</w:t>
            </w:r>
          </w:p>
        </w:tc>
        <w:tc>
          <w:tcPr>
            <w:tcW w:w="1615" w:type="dxa"/>
            <w:noWrap w:val="0"/>
            <w:vAlign w:val="center"/>
          </w:tcPr>
          <w:p w14:paraId="2362EFD5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机械环境适应性</w:t>
            </w:r>
          </w:p>
        </w:tc>
        <w:tc>
          <w:tcPr>
            <w:tcW w:w="6465" w:type="dxa"/>
            <w:noWrap w:val="0"/>
            <w:vAlign w:val="center"/>
          </w:tcPr>
          <w:p w14:paraId="6F5DCCDE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防水防尘、有效防止震动、电磁干扰、高温以及一定强度冲击、振动测试</w:t>
            </w:r>
          </w:p>
        </w:tc>
      </w:tr>
      <w:tr w14:paraId="0AAAB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0929468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16</w:t>
            </w:r>
          </w:p>
        </w:tc>
        <w:tc>
          <w:tcPr>
            <w:tcW w:w="1615" w:type="dxa"/>
            <w:noWrap w:val="0"/>
            <w:vAlign w:val="center"/>
          </w:tcPr>
          <w:p w14:paraId="460A0FF7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防护性能</w:t>
            </w:r>
          </w:p>
        </w:tc>
        <w:tc>
          <w:tcPr>
            <w:tcW w:w="6465" w:type="dxa"/>
            <w:noWrap w:val="0"/>
            <w:vAlign w:val="center"/>
          </w:tcPr>
          <w:p w14:paraId="24396F2F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添加钢化玻璃防护，整体封闭，确保防尘、防凝露、散热等功能，并保证LCD节站屏的整体美观牢固；采用温控措施，进行高低温保护；全屏采用阻燃线材、接插件全部采用自锁接插</w:t>
            </w:r>
          </w:p>
        </w:tc>
      </w:tr>
      <w:tr w14:paraId="67945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noWrap w:val="0"/>
            <w:vAlign w:val="center"/>
          </w:tcPr>
          <w:p w14:paraId="4233C0C2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17</w:t>
            </w:r>
          </w:p>
        </w:tc>
        <w:tc>
          <w:tcPr>
            <w:tcW w:w="1615" w:type="dxa"/>
            <w:shd w:val="clear" w:color="auto" w:fill="auto"/>
            <w:noWrap w:val="0"/>
            <w:vAlign w:val="center"/>
          </w:tcPr>
          <w:p w14:paraId="64364452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重量</w:t>
            </w:r>
          </w:p>
        </w:tc>
        <w:tc>
          <w:tcPr>
            <w:tcW w:w="6465" w:type="dxa"/>
            <w:shd w:val="clear" w:color="auto" w:fill="FFFFFF"/>
            <w:noWrap w:val="0"/>
            <w:vAlign w:val="center"/>
          </w:tcPr>
          <w:p w14:paraId="0DAC3021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≤8KG</w:t>
            </w:r>
          </w:p>
        </w:tc>
      </w:tr>
      <w:tr w14:paraId="6D217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noWrap w:val="0"/>
            <w:vAlign w:val="center"/>
          </w:tcPr>
          <w:p w14:paraId="52BCFD3F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18</w:t>
            </w:r>
          </w:p>
        </w:tc>
        <w:tc>
          <w:tcPr>
            <w:tcW w:w="1615" w:type="dxa"/>
            <w:shd w:val="clear" w:color="auto" w:fill="auto"/>
            <w:noWrap w:val="0"/>
            <w:vAlign w:val="center"/>
          </w:tcPr>
          <w:p w14:paraId="78FDA37D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功耗</w:t>
            </w:r>
          </w:p>
        </w:tc>
        <w:tc>
          <w:tcPr>
            <w:tcW w:w="6465" w:type="dxa"/>
            <w:shd w:val="clear" w:color="auto" w:fill="FFFFFF"/>
            <w:noWrap w:val="0"/>
            <w:vAlign w:val="center"/>
          </w:tcPr>
          <w:p w14:paraId="72CA0F34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正常工作时功耗≤50</w:t>
            </w:r>
            <w:bookmarkStart w:id="10" w:name="OLE_LINK12"/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W</w:t>
            </w:r>
            <w:bookmarkEnd w:id="10"/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，待机≤3W</w:t>
            </w:r>
          </w:p>
        </w:tc>
      </w:tr>
      <w:tr w14:paraId="6A2C1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noWrap w:val="0"/>
            <w:vAlign w:val="center"/>
          </w:tcPr>
          <w:p w14:paraId="73C522BF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19</w:t>
            </w:r>
          </w:p>
        </w:tc>
        <w:tc>
          <w:tcPr>
            <w:tcW w:w="1615" w:type="dxa"/>
            <w:shd w:val="clear" w:color="auto" w:fill="auto"/>
            <w:noWrap w:val="0"/>
            <w:vAlign w:val="center"/>
          </w:tcPr>
          <w:p w14:paraId="66057000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正常工作环境</w:t>
            </w:r>
          </w:p>
        </w:tc>
        <w:tc>
          <w:tcPr>
            <w:tcW w:w="6465" w:type="dxa"/>
            <w:shd w:val="clear" w:color="auto" w:fill="FFFFFF"/>
            <w:noWrap w:val="0"/>
            <w:vAlign w:val="center"/>
          </w:tcPr>
          <w:p w14:paraId="2CC231D8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温度-20℃～+60℃；湿度10%～90%</w:t>
            </w:r>
          </w:p>
        </w:tc>
      </w:tr>
      <w:tr w14:paraId="49119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97458E4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20</w:t>
            </w:r>
          </w:p>
        </w:tc>
        <w:tc>
          <w:tcPr>
            <w:tcW w:w="1615" w:type="dxa"/>
            <w:noWrap w:val="0"/>
            <w:vAlign w:val="center"/>
          </w:tcPr>
          <w:p w14:paraId="3DFC20C9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屏体使用寿命</w:t>
            </w:r>
          </w:p>
        </w:tc>
        <w:tc>
          <w:tcPr>
            <w:tcW w:w="6465" w:type="dxa"/>
            <w:noWrap w:val="0"/>
            <w:vAlign w:val="center"/>
          </w:tcPr>
          <w:p w14:paraId="6B536314">
            <w:pPr>
              <w:widowControl/>
              <w:ind w:firstLine="0" w:firstLineChars="0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＞50000H</w:t>
            </w:r>
          </w:p>
        </w:tc>
      </w:tr>
      <w:tr w14:paraId="7FA2C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0D67818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21</w:t>
            </w:r>
          </w:p>
        </w:tc>
        <w:tc>
          <w:tcPr>
            <w:tcW w:w="1615" w:type="dxa"/>
            <w:noWrap w:val="0"/>
            <w:vAlign w:val="center"/>
          </w:tcPr>
          <w:p w14:paraId="2308B748">
            <w:pPr>
              <w:ind w:firstLine="0" w:firstLineChars="0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shd w:val="clear" w:color="auto" w:fill="auto"/>
              </w:rPr>
              <w:t>支持语言</w:t>
            </w:r>
          </w:p>
        </w:tc>
        <w:tc>
          <w:tcPr>
            <w:tcW w:w="6465" w:type="dxa"/>
            <w:noWrap w:val="0"/>
            <w:vAlign w:val="center"/>
          </w:tcPr>
          <w:p w14:paraId="1A139CA3">
            <w:pPr>
              <w:widowControl/>
              <w:spacing w:beforeAutospacing="1" w:afterAutospacing="1" w:line="378" w:lineRule="atLeast"/>
              <w:ind w:firstLine="0" w:firstLineChars="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shd w:val="clear" w:color="auto" w:fill="auto"/>
              </w:rPr>
              <w:t>中、英文等</w:t>
            </w:r>
          </w:p>
        </w:tc>
      </w:tr>
    </w:tbl>
    <w:p w14:paraId="7C38DB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D.采用模块化设计、硬件配置可灵活更换维修、易维护。</w:t>
      </w:r>
    </w:p>
    <w:p w14:paraId="4CE86B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firstLine="48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  <w:t>、安装要求</w:t>
      </w:r>
    </w:p>
    <w:p w14:paraId="54B523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各设备符合国家标准，提供出厂合格证及3C认证标志。</w:t>
      </w:r>
    </w:p>
    <w:p w14:paraId="6D6AFF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安装过程中不得影响车辆整体性能及车身整体结构，各设备功能齐全、运行正常、安装牢固，线路走向合理规范，捆扎牢固，无老化、破损现象，各类按键齐全有效。</w:t>
      </w:r>
    </w:p>
    <w:p w14:paraId="5672E5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显示内容完整清楚。各连接电路连接规范牢固，保险符合原厂要求。</w:t>
      </w:r>
    </w:p>
    <w:p w14:paraId="0724359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驾驶室不得设置车载LCD导乘屏和LED广告屏按钮开关，建议设置在电瓶舱内，电源线前必须加装保险。</w:t>
      </w:r>
    </w:p>
    <w:p w14:paraId="3C1F16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车载LCD导乘屏音量不得超过国家规定的噪音标准。</w:t>
      </w:r>
    </w:p>
    <w:p w14:paraId="78E0C77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Chars="175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auto"/>
        </w:rPr>
        <w:t>保养维护</w:t>
      </w:r>
    </w:p>
    <w:p w14:paraId="30E624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租赁期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内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车厢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电子屏的保修维护由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意向承租方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负责，保养技术标准按照贵阳公交ISO9001技术标准执行。</w:t>
      </w:r>
    </w:p>
    <w:p w14:paraId="60025A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7AA95"/>
    <w:multiLevelType w:val="singleLevel"/>
    <w:tmpl w:val="5A27AA9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E19A1"/>
    <w:rsid w:val="710E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2025-04-23T05:37:00Z</dcterms:created>
  <dc:creator>雷星昀</dc:creator>
  <cp:lastModifiedBy>雷星昀</cp:lastModifiedBy>
  <dcterms:modified xsi:type="dcterms:W3CDTF">2025-04-23T05:38:07Z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7CCEE44E4A2449DD8E4EC4BECEA1621B_11</vt:lpwstr>
  </property>
  <property fmtid="{D5CDD505-2E9C-101B-9397-08002B2CF9AE}" pid="4" name="KSOTemplateDocerSaveRecord">
    <vt:lpwstr>eyJoZGlkIjoiZGQ1NzQ5Yjg5NGIwYWU3ZjU1OWZiOGZjNmY3MTQ4NmMiLCJ1c2VySWQiOiIxMzM2Mzg1NSJ9</vt:lpwstr>
  </property>
</Properties>
</file>