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C2DBD">
      <w:pPr>
        <w:spacing w:line="500" w:lineRule="exact"/>
        <w:ind w:firstLine="640" w:firstLineChars="200"/>
        <w:jc w:val="left"/>
        <w:outlineLvl w:val="0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租金收缴办法</w:t>
      </w:r>
    </w:p>
    <w:p w14:paraId="2D3D1594">
      <w:pPr>
        <w:spacing w:line="500" w:lineRule="exact"/>
        <w:ind w:firstLine="640" w:firstLineChars="200"/>
        <w:jc w:val="left"/>
        <w:outlineLvl w:val="1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（一）租金收缴</w:t>
      </w:r>
    </w:p>
    <w:p w14:paraId="613F576C">
      <w:pPr>
        <w:spacing w:line="500" w:lineRule="exact"/>
        <w:ind w:firstLine="640" w:firstLineChars="200"/>
        <w:jc w:val="left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租金按照先交后用的原则收缴，具体收缴计划如下：</w:t>
      </w:r>
    </w:p>
    <w:p w14:paraId="0BB69BB6">
      <w:pPr>
        <w:spacing w:line="500" w:lineRule="exact"/>
        <w:ind w:firstLine="640" w:firstLineChars="200"/>
        <w:jc w:val="left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本项目租金分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个年度计算，每年度租金分2期平均支付，每6个月支付一期，承租人自合同签订生效之日后的30日内向出租人支付第一年度第1期租金，第一年度第1期租金到期前30日内，承租人须向出租人支付第一年度第2期租金，后续各期租金支付时间依此类推。</w:t>
      </w:r>
    </w:p>
    <w:p w14:paraId="78FF727F">
      <w:pPr>
        <w:spacing w:line="500" w:lineRule="exact"/>
        <w:ind w:firstLine="640" w:firstLineChars="200"/>
        <w:jc w:val="left"/>
        <w:outlineLvl w:val="1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（二）租金计算办法</w:t>
      </w:r>
    </w:p>
    <w:p w14:paraId="54473F87">
      <w:pPr>
        <w:spacing w:line="500" w:lineRule="exact"/>
        <w:ind w:firstLine="640" w:firstLineChars="200"/>
        <w:jc w:val="left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按照本项目招租最终成交的租金价格按比例分摊至每一年，各年度租金金额支付比例如下表：</w:t>
      </w:r>
    </w:p>
    <w:tbl>
      <w:tblPr>
        <w:tblStyle w:val="3"/>
        <w:tblW w:w="7538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3051"/>
        <w:gridCol w:w="3569"/>
      </w:tblGrid>
      <w:tr w14:paraId="0BA70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18" w:type="dxa"/>
            <w:vAlign w:val="center"/>
          </w:tcPr>
          <w:p w14:paraId="518A8DBF">
            <w:pPr>
              <w:numPr>
                <w:ilvl w:val="255"/>
                <w:numId w:val="0"/>
              </w:numPr>
              <w:spacing w:line="500" w:lineRule="exact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051" w:type="dxa"/>
            <w:vAlign w:val="center"/>
          </w:tcPr>
          <w:p w14:paraId="50E6AE3C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租赁年度</w:t>
            </w:r>
          </w:p>
        </w:tc>
        <w:tc>
          <w:tcPr>
            <w:tcW w:w="3569" w:type="dxa"/>
            <w:vAlign w:val="center"/>
          </w:tcPr>
          <w:p w14:paraId="39362175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租金支付比例</w:t>
            </w:r>
          </w:p>
        </w:tc>
      </w:tr>
      <w:tr w14:paraId="3203F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18" w:type="dxa"/>
            <w:vAlign w:val="center"/>
          </w:tcPr>
          <w:p w14:paraId="7E7042AD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051" w:type="dxa"/>
            <w:vAlign w:val="center"/>
          </w:tcPr>
          <w:p w14:paraId="4F559265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第一年度</w:t>
            </w:r>
          </w:p>
        </w:tc>
        <w:tc>
          <w:tcPr>
            <w:tcW w:w="3569" w:type="dxa"/>
            <w:vAlign w:val="center"/>
          </w:tcPr>
          <w:p w14:paraId="5D329E61">
            <w:pPr>
              <w:widowControl/>
              <w:spacing w:line="500" w:lineRule="exact"/>
              <w:ind w:firstLine="0" w:firstLineChars="0"/>
              <w:jc w:val="center"/>
              <w:rPr>
                <w:rFonts w:hint="default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  <w:t>31.72%</w:t>
            </w:r>
          </w:p>
        </w:tc>
      </w:tr>
      <w:tr w14:paraId="258D0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18" w:type="dxa"/>
            <w:vAlign w:val="center"/>
          </w:tcPr>
          <w:p w14:paraId="66CCFD98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051" w:type="dxa"/>
            <w:vAlign w:val="center"/>
          </w:tcPr>
          <w:p w14:paraId="7007ED1A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第二年度</w:t>
            </w:r>
          </w:p>
        </w:tc>
        <w:tc>
          <w:tcPr>
            <w:tcW w:w="3569" w:type="dxa"/>
            <w:vAlign w:val="center"/>
          </w:tcPr>
          <w:p w14:paraId="2DE0ACBF">
            <w:pPr>
              <w:widowControl/>
              <w:spacing w:line="500" w:lineRule="exact"/>
              <w:ind w:firstLine="0" w:firstLineChars="0"/>
              <w:jc w:val="center"/>
              <w:rPr>
                <w:rFonts w:hint="default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  <w:t>33.31%</w:t>
            </w:r>
          </w:p>
        </w:tc>
      </w:tr>
      <w:tr w14:paraId="0BB1B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8" w:type="dxa"/>
            <w:vAlign w:val="center"/>
          </w:tcPr>
          <w:p w14:paraId="33E552DF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051" w:type="dxa"/>
            <w:vAlign w:val="center"/>
          </w:tcPr>
          <w:p w14:paraId="6F018B1E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第三年度</w:t>
            </w:r>
          </w:p>
        </w:tc>
        <w:tc>
          <w:tcPr>
            <w:tcW w:w="3569" w:type="dxa"/>
            <w:vAlign w:val="center"/>
          </w:tcPr>
          <w:p w14:paraId="185B86C3">
            <w:pPr>
              <w:widowControl/>
              <w:spacing w:line="500" w:lineRule="exact"/>
              <w:ind w:firstLine="0" w:firstLineChars="0"/>
              <w:jc w:val="center"/>
              <w:rPr>
                <w:rFonts w:hint="default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  <w:t>34.97%</w:t>
            </w:r>
          </w:p>
        </w:tc>
      </w:tr>
      <w:tr w14:paraId="7D655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9C45A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6F598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B8A93"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成交金额的100%</w:t>
            </w:r>
          </w:p>
        </w:tc>
      </w:tr>
    </w:tbl>
    <w:p w14:paraId="0A5F3018">
      <w:pPr>
        <w:spacing w:line="500" w:lineRule="exact"/>
        <w:ind w:firstLine="640" w:firstLineChars="200"/>
        <w:jc w:val="left"/>
        <w:outlineLvl w:val="1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（三）租金变更</w:t>
      </w:r>
    </w:p>
    <w:p w14:paraId="12E0F635"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1.租赁期内，如非出租人原因导致实际布设的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寄存柜场地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数量有所减少，场地租赁费用不予扣减。</w:t>
      </w:r>
    </w:p>
    <w:p w14:paraId="577C744F"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position w:val="-26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2.如因出租人原因导致交付的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寄存柜场地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数量有所减少；或承租人在取得出租人许可后，申请增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加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eastAsia="zh-CN"/>
        </w:rPr>
        <w:t>场地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数量，出租人根据实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际交付的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场地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数量对租金予以相应调整，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参照《评估报告》中的场地价值表占比及最终成交价按比例反推调整租金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 w14:paraId="0445BD72">
      <w:pPr>
        <w:pStyle w:val="5"/>
        <w:numPr>
          <w:ilvl w:val="255"/>
          <w:numId w:val="0"/>
        </w:numPr>
        <w:tabs>
          <w:tab w:val="left" w:pos="426"/>
          <w:tab w:val="left" w:pos="851"/>
        </w:tabs>
        <w:spacing w:line="500" w:lineRule="exact"/>
        <w:ind w:firstLine="560" w:firstLineChars="175"/>
        <w:jc w:val="left"/>
        <w:outlineLvl w:val="0"/>
        <w:rPr>
          <w:rFonts w:ascii="黑体" w:hAnsi="黑体" w:eastAsia="黑体"/>
          <w:sz w:val="32"/>
          <w:szCs w:val="32"/>
        </w:rPr>
      </w:pPr>
      <w:bookmarkStart w:id="1" w:name="_GoBack"/>
      <w:bookmarkEnd w:id="1"/>
      <w:bookmarkStart w:id="0" w:name="_Toc98941184"/>
      <w:r>
        <w:rPr>
          <w:rFonts w:hint="eastAsia" w:ascii="黑体" w:hAnsi="黑体" w:eastAsia="黑体"/>
          <w:sz w:val="32"/>
          <w:szCs w:val="32"/>
        </w:rPr>
        <w:t>电费结算和支付</w:t>
      </w:r>
      <w:bookmarkEnd w:id="0"/>
    </w:p>
    <w:p w14:paraId="1D0DC38B">
      <w:pPr>
        <w:spacing w:line="500" w:lineRule="exact"/>
        <w:ind w:firstLine="640" w:firstLineChars="200"/>
        <w:jc w:val="left"/>
        <w:rPr>
          <w:rFonts w:ascii="仿宋_GB2312" w:eastAsia="仿宋_GB2312" w:cs="Arial" w:hAnsiTheme="majorEastAsia"/>
          <w:kern w:val="0"/>
          <w:sz w:val="32"/>
          <w:szCs w:val="32"/>
          <w:u w:val="single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经营期内，合同经营范围内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贵阳轨道交通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三号线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一期车站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站厅层自助设备（生活保供类-寄存柜）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产生的电费由承租人承担，承租人须向出租人支付电费。电费按月结算，具体如下：</w:t>
      </w:r>
    </w:p>
    <w:p w14:paraId="7A5E9401">
      <w:pPr>
        <w:spacing w:line="460" w:lineRule="exact"/>
        <w:ind w:firstLine="640" w:firstLineChars="200"/>
        <w:jc w:val="left"/>
        <w:outlineLvl w:val="1"/>
        <w:rPr>
          <w:rFonts w:ascii="仿宋_GB2312" w:eastAsia="仿宋_GB2312" w:cs="Arial" w:hAnsiTheme="majorEastAsia"/>
          <w:kern w:val="0"/>
          <w:sz w:val="32"/>
          <w:szCs w:val="32"/>
          <w:u w:val="none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  <w:u w:val="none"/>
        </w:rPr>
        <w:t>（一）当月应缴纳电费=承租人当月用电量*当月平均电价。</w:t>
      </w:r>
    </w:p>
    <w:p w14:paraId="53CEA9D7">
      <w:pPr>
        <w:spacing w:line="460" w:lineRule="exact"/>
        <w:ind w:firstLine="640" w:firstLineChars="200"/>
        <w:jc w:val="left"/>
        <w:rPr>
          <w:rFonts w:ascii="仿宋_GB2312" w:eastAsia="仿宋_GB2312" w:cs="Arial" w:hAnsiTheme="majorEastAsia"/>
          <w:kern w:val="0"/>
          <w:sz w:val="32"/>
          <w:szCs w:val="32"/>
          <w:u w:val="none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  <w:u w:val="none"/>
        </w:rPr>
        <w:t>（二）当月平均电价=出租人当月向供电部门缴纳的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u w:val="none"/>
          <w:lang w:eastAsia="zh-CN"/>
        </w:rPr>
        <w:t>三号线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u w:val="none"/>
        </w:rPr>
        <w:t>一期线路的电费总额/当月总用电量。</w:t>
      </w:r>
    </w:p>
    <w:p w14:paraId="2BAF5FEC">
      <w:pPr>
        <w:spacing w:line="46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  <w:u w:val="none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  <w:u w:val="none"/>
        </w:rPr>
        <w:t>（三）承租人当月用电量=承租人所有用电设备总额定功率*当月天数*每日设备运行时长(小时)。</w:t>
      </w:r>
    </w:p>
    <w:p w14:paraId="788302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19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spacing w:line="360" w:lineRule="atLeast"/>
      <w:ind w:firstLine="420"/>
      <w:textAlignment w:val="baseline"/>
    </w:p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2025-04-01T06:40:24Z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C5855B91449F4B228BD3FC81E7808523_12</vt:lpwstr>
  </property>
</Properties>
</file>