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51DA71">
      <w:pPr>
        <w:pStyle w:val="7"/>
        <w:numPr>
          <w:ilvl w:val="255"/>
          <w:numId w:val="0"/>
        </w:numPr>
        <w:tabs>
          <w:tab w:val="left" w:pos="426"/>
          <w:tab w:val="left" w:pos="851"/>
        </w:tabs>
        <w:spacing w:line="500" w:lineRule="exact"/>
        <w:ind w:firstLine="560" w:firstLineChars="175"/>
        <w:jc w:val="left"/>
        <w:outlineLvl w:val="0"/>
        <w:rPr>
          <w:rFonts w:ascii="黑体" w:hAnsi="黑体" w:eastAsia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sz w:val="32"/>
          <w:szCs w:val="32"/>
        </w:rPr>
        <w:t>经营管理及安全施工</w:t>
      </w:r>
    </w:p>
    <w:p w14:paraId="079CC414">
      <w:pPr>
        <w:spacing w:line="360" w:lineRule="auto"/>
        <w:ind w:right="-483" w:rightChars="-230" w:firstLine="640" w:firstLineChars="200"/>
        <w:rPr>
          <w:rFonts w:ascii="仿宋_GB2312" w:eastAsia="仿宋_GB2312" w:cs="Arial" w:hAnsiTheme="majorEastAsia"/>
          <w:kern w:val="0"/>
          <w:sz w:val="32"/>
          <w:szCs w:val="32"/>
        </w:rPr>
      </w:pPr>
      <w:r>
        <w:rPr>
          <w:rFonts w:hint="eastAsia" w:ascii="仿宋_GB2312" w:eastAsia="仿宋_GB2312" w:cs="Arial" w:hAnsiTheme="majorEastAsia"/>
          <w:kern w:val="0"/>
          <w:sz w:val="32"/>
          <w:szCs w:val="32"/>
        </w:rPr>
        <w:t>（一）承租人在投放</w:t>
      </w:r>
      <w:r>
        <w:rPr>
          <w:rFonts w:hint="eastAsia" w:ascii="仿宋_GB2312" w:eastAsia="仿宋_GB2312" w:cs="Arial" w:hAnsiTheme="majorEastAsia"/>
          <w:kern w:val="0"/>
          <w:sz w:val="32"/>
          <w:szCs w:val="32"/>
          <w:lang w:val="en-US" w:eastAsia="zh-CN"/>
        </w:rPr>
        <w:t>自助设备（生活保供类-寄存柜）</w:t>
      </w:r>
      <w:r>
        <w:rPr>
          <w:rFonts w:hint="eastAsia" w:ascii="仿宋_GB2312" w:eastAsia="仿宋_GB2312" w:cs="Arial" w:hAnsiTheme="majorEastAsia"/>
          <w:kern w:val="0"/>
          <w:sz w:val="32"/>
          <w:szCs w:val="32"/>
        </w:rPr>
        <w:t>时，不能变更和损坏站内空间原有装修，设备不能有尖锐突出部分。</w:t>
      </w:r>
    </w:p>
    <w:p w14:paraId="1F2E8B00">
      <w:pPr>
        <w:spacing w:line="360" w:lineRule="auto"/>
        <w:ind w:right="-483" w:rightChars="-230" w:firstLine="640" w:firstLineChars="200"/>
        <w:rPr>
          <w:rFonts w:ascii="仿宋_GB2312" w:eastAsia="仿宋_GB2312" w:cs="Arial" w:hAnsiTheme="majorEastAsia"/>
          <w:kern w:val="0"/>
          <w:sz w:val="32"/>
          <w:szCs w:val="32"/>
        </w:rPr>
      </w:pPr>
      <w:r>
        <w:rPr>
          <w:rFonts w:hint="eastAsia" w:ascii="仿宋_GB2312" w:eastAsia="仿宋_GB2312" w:cs="Arial" w:hAnsiTheme="majorEastAsia"/>
          <w:kern w:val="0"/>
          <w:sz w:val="32"/>
          <w:szCs w:val="32"/>
        </w:rPr>
        <w:t>（二）承租人在对车站</w:t>
      </w:r>
      <w:r>
        <w:rPr>
          <w:rFonts w:hint="eastAsia" w:ascii="仿宋_GB2312" w:eastAsia="仿宋_GB2312" w:cs="Arial" w:hAnsiTheme="majorEastAsia"/>
          <w:kern w:val="0"/>
          <w:sz w:val="32"/>
          <w:szCs w:val="32"/>
          <w:lang w:val="en-US" w:eastAsia="zh-CN"/>
        </w:rPr>
        <w:t>站厅层</w:t>
      </w:r>
      <w:r>
        <w:rPr>
          <w:rFonts w:hint="eastAsia" w:ascii="仿宋_GB2312" w:eastAsia="仿宋_GB2312" w:cs="Arial" w:hAnsiTheme="majorEastAsia"/>
          <w:kern w:val="0"/>
          <w:sz w:val="32"/>
          <w:szCs w:val="32"/>
        </w:rPr>
        <w:t>的场地布设</w:t>
      </w:r>
      <w:r>
        <w:rPr>
          <w:rFonts w:hint="eastAsia" w:ascii="仿宋_GB2312" w:eastAsia="仿宋_GB2312" w:cs="Arial" w:hAnsiTheme="majorEastAsia"/>
          <w:kern w:val="0"/>
          <w:sz w:val="32"/>
          <w:szCs w:val="32"/>
          <w:lang w:val="en-US" w:eastAsia="zh-CN"/>
        </w:rPr>
        <w:t>自助设备（生活保供类-寄存柜）</w:t>
      </w:r>
      <w:r>
        <w:rPr>
          <w:rFonts w:hint="eastAsia" w:ascii="仿宋_GB2312" w:eastAsia="仿宋_GB2312" w:cs="Arial" w:hAnsiTheme="majorEastAsia"/>
          <w:kern w:val="0"/>
          <w:sz w:val="32"/>
          <w:szCs w:val="32"/>
        </w:rPr>
        <w:t>时，单台设备不得超过如下限制尺寸：</w:t>
      </w:r>
      <w:r>
        <w:rPr>
          <w:rFonts w:hint="eastAsia" w:ascii="仿宋_GB2312" w:eastAsia="仿宋_GB2312" w:cs="Arial" w:hAnsiTheme="majorEastAsia"/>
          <w:kern w:val="0"/>
          <w:sz w:val="32"/>
          <w:szCs w:val="32"/>
          <w:highlight w:val="none"/>
        </w:rPr>
        <w:t>高度：</w:t>
      </w:r>
      <w:r>
        <w:rPr>
          <w:rFonts w:hint="eastAsia" w:ascii="仿宋_GB2312" w:eastAsia="仿宋_GB2312" w:cs="Arial" w:hAnsiTheme="majorEastAsia"/>
          <w:kern w:val="0"/>
          <w:sz w:val="32"/>
          <w:szCs w:val="32"/>
          <w:highlight w:val="none"/>
          <w:lang w:val="en-US" w:eastAsia="zh-CN"/>
        </w:rPr>
        <w:t>2.2</w:t>
      </w:r>
      <w:r>
        <w:rPr>
          <w:rFonts w:hint="eastAsia" w:ascii="仿宋_GB2312" w:eastAsia="仿宋_GB2312" w:cs="Arial" w:hAnsiTheme="majorEastAsia"/>
          <w:kern w:val="0"/>
          <w:sz w:val="32"/>
          <w:szCs w:val="32"/>
          <w:highlight w:val="none"/>
        </w:rPr>
        <w:t>m，宽度：1.</w:t>
      </w:r>
      <w:r>
        <w:rPr>
          <w:rFonts w:hint="eastAsia" w:ascii="仿宋_GB2312" w:eastAsia="仿宋_GB2312" w:cs="Arial" w:hAnsiTheme="majorEastAsia"/>
          <w:kern w:val="0"/>
          <w:sz w:val="32"/>
          <w:szCs w:val="32"/>
          <w:highlight w:val="none"/>
          <w:lang w:val="en-US" w:eastAsia="zh-CN"/>
        </w:rPr>
        <w:t>7</w:t>
      </w:r>
      <w:r>
        <w:rPr>
          <w:rFonts w:hint="eastAsia" w:ascii="仿宋_GB2312" w:eastAsia="仿宋_GB2312" w:cs="Arial" w:hAnsiTheme="majorEastAsia"/>
          <w:kern w:val="0"/>
          <w:sz w:val="32"/>
          <w:szCs w:val="32"/>
          <w:highlight w:val="none"/>
        </w:rPr>
        <w:t>m，深度：</w:t>
      </w:r>
      <w:r>
        <w:rPr>
          <w:rFonts w:hint="eastAsia" w:ascii="仿宋_GB2312" w:eastAsia="仿宋_GB2312" w:cs="Arial" w:hAnsiTheme="majorEastAsia"/>
          <w:kern w:val="0"/>
          <w:sz w:val="32"/>
          <w:szCs w:val="32"/>
          <w:highlight w:val="none"/>
          <w:lang w:val="en-US" w:eastAsia="zh-CN"/>
        </w:rPr>
        <w:t>0.6</w:t>
      </w:r>
      <w:r>
        <w:rPr>
          <w:rFonts w:hint="eastAsia" w:ascii="仿宋_GB2312" w:eastAsia="仿宋_GB2312" w:cs="Arial" w:hAnsiTheme="majorEastAsia"/>
          <w:kern w:val="0"/>
          <w:sz w:val="32"/>
          <w:szCs w:val="32"/>
          <w:highlight w:val="none"/>
        </w:rPr>
        <w:t>m。</w:t>
      </w:r>
    </w:p>
    <w:p w14:paraId="6DD413BE">
      <w:pPr>
        <w:spacing w:line="360" w:lineRule="auto"/>
        <w:ind w:right="-483" w:rightChars="-230" w:firstLine="640" w:firstLineChars="200"/>
        <w:rPr>
          <w:rFonts w:ascii="仿宋_GB2312" w:eastAsia="仿宋_GB2312" w:cs="Arial" w:hAnsiTheme="majorEastAsia"/>
          <w:kern w:val="0"/>
          <w:sz w:val="32"/>
          <w:szCs w:val="32"/>
        </w:rPr>
      </w:pPr>
      <w:r>
        <w:rPr>
          <w:rFonts w:hint="eastAsia" w:ascii="仿宋_GB2312" w:eastAsia="仿宋_GB2312" w:cs="Arial" w:hAnsiTheme="majorEastAsia"/>
          <w:kern w:val="0"/>
          <w:sz w:val="32"/>
          <w:szCs w:val="32"/>
          <w:highlight w:val="none"/>
        </w:rPr>
        <w:t>（三）</w:t>
      </w:r>
      <w:r>
        <w:rPr>
          <w:rFonts w:hint="eastAsia" w:ascii="仿宋_GB2312" w:eastAsia="仿宋_GB2312" w:cs="Arial" w:hAnsiTheme="majorEastAsia"/>
          <w:kern w:val="0"/>
          <w:sz w:val="32"/>
          <w:szCs w:val="32"/>
          <w:lang w:val="en-US" w:eastAsia="zh-CN"/>
        </w:rPr>
        <w:t>自助设备（生活保供类-寄存柜）</w:t>
      </w:r>
      <w:r>
        <w:rPr>
          <w:rFonts w:hint="eastAsia" w:ascii="仿宋_GB2312" w:eastAsia="仿宋_GB2312" w:cs="Arial" w:hAnsiTheme="majorEastAsia"/>
          <w:kern w:val="0"/>
          <w:sz w:val="32"/>
          <w:szCs w:val="32"/>
        </w:rPr>
        <w:t>提供服务所必需的相关设施及其他环境条件（包括但不限于视频监控、网络资源等）由承租人自行解决，同时承担所产生的电费，具体单价、交纳的期限和方式由出租人确定并书面通知承租人。</w:t>
      </w:r>
    </w:p>
    <w:p w14:paraId="015F694A">
      <w:pPr>
        <w:spacing w:line="360" w:lineRule="auto"/>
        <w:ind w:right="-483" w:rightChars="-230" w:firstLine="640" w:firstLineChars="200"/>
        <w:rPr>
          <w:rFonts w:ascii="仿宋_GB2312" w:eastAsia="仿宋_GB2312" w:cs="Arial" w:hAnsiTheme="majorEastAsia"/>
          <w:kern w:val="0"/>
          <w:sz w:val="32"/>
          <w:szCs w:val="32"/>
        </w:rPr>
      </w:pPr>
      <w:r>
        <w:rPr>
          <w:rFonts w:hint="eastAsia" w:ascii="仿宋_GB2312" w:eastAsia="仿宋_GB2312" w:cs="Arial" w:hAnsiTheme="majorEastAsia"/>
          <w:kern w:val="0"/>
          <w:sz w:val="32"/>
          <w:szCs w:val="32"/>
        </w:rPr>
        <w:t>（</w:t>
      </w:r>
      <w:r>
        <w:rPr>
          <w:rFonts w:hint="eastAsia" w:ascii="仿宋_GB2312" w:eastAsia="仿宋_GB2312" w:cs="Arial" w:hAnsiTheme="majorEastAsia"/>
          <w:kern w:val="0"/>
          <w:sz w:val="32"/>
          <w:szCs w:val="32"/>
          <w:lang w:val="en-US" w:eastAsia="zh-CN"/>
        </w:rPr>
        <w:t>四</w:t>
      </w:r>
      <w:r>
        <w:rPr>
          <w:rFonts w:hint="eastAsia" w:ascii="仿宋_GB2312" w:eastAsia="仿宋_GB2312" w:cs="Arial" w:hAnsiTheme="majorEastAsia"/>
          <w:kern w:val="0"/>
          <w:sz w:val="32"/>
          <w:szCs w:val="32"/>
        </w:rPr>
        <w:t>）承租人应保证在贵阳轨道交通</w:t>
      </w:r>
      <w:r>
        <w:rPr>
          <w:rFonts w:hint="eastAsia" w:ascii="仿宋_GB2312" w:eastAsia="仿宋_GB2312" w:cs="Arial" w:hAnsiTheme="majorEastAsia"/>
          <w:kern w:val="0"/>
          <w:sz w:val="32"/>
          <w:szCs w:val="32"/>
          <w:lang w:eastAsia="zh-CN"/>
        </w:rPr>
        <w:t>三号线</w:t>
      </w:r>
      <w:r>
        <w:rPr>
          <w:rFonts w:hint="eastAsia" w:ascii="仿宋_GB2312" w:eastAsia="仿宋_GB2312" w:cs="Arial" w:hAnsiTheme="majorEastAsia"/>
          <w:kern w:val="0"/>
          <w:sz w:val="32"/>
          <w:szCs w:val="32"/>
        </w:rPr>
        <w:t>一期线路的正常运营时间内，正常且稳定提供相关</w:t>
      </w:r>
      <w:r>
        <w:rPr>
          <w:rFonts w:hint="eastAsia" w:ascii="仿宋_GB2312" w:eastAsia="仿宋_GB2312" w:cs="Arial" w:hAnsiTheme="majorEastAsia"/>
          <w:kern w:val="0"/>
          <w:sz w:val="32"/>
          <w:szCs w:val="32"/>
          <w:lang w:val="en-US" w:eastAsia="zh-CN"/>
        </w:rPr>
        <w:t>寄存柜服务并按时进行设备检查和维护，</w:t>
      </w:r>
      <w:r>
        <w:rPr>
          <w:rFonts w:hint="eastAsia" w:ascii="仿宋_GB2312" w:eastAsia="仿宋_GB2312" w:cs="Arial" w:hAnsiTheme="majorEastAsia"/>
          <w:kern w:val="0"/>
          <w:sz w:val="32"/>
          <w:szCs w:val="32"/>
        </w:rPr>
        <w:t>设置统一服务电话，及时处理设备</w:t>
      </w:r>
      <w:r>
        <w:rPr>
          <w:rFonts w:hint="eastAsia" w:ascii="仿宋_GB2312" w:eastAsia="仿宋_GB2312" w:cs="Arial" w:hAnsiTheme="majorEastAsia"/>
          <w:kern w:val="0"/>
          <w:sz w:val="32"/>
          <w:szCs w:val="32"/>
          <w:lang w:val="en-US" w:eastAsia="zh-CN"/>
        </w:rPr>
        <w:t>故障</w:t>
      </w:r>
      <w:r>
        <w:rPr>
          <w:rFonts w:hint="eastAsia" w:ascii="仿宋_GB2312" w:eastAsia="仿宋_GB2312" w:cs="Arial" w:hAnsiTheme="majorEastAsia"/>
          <w:kern w:val="0"/>
          <w:sz w:val="32"/>
          <w:szCs w:val="32"/>
        </w:rPr>
        <w:t>等特殊情况。</w:t>
      </w:r>
    </w:p>
    <w:p w14:paraId="081E51FD">
      <w:pPr>
        <w:spacing w:line="360" w:lineRule="auto"/>
        <w:ind w:right="-483" w:rightChars="-230" w:firstLine="640" w:firstLineChars="200"/>
        <w:rPr>
          <w:rFonts w:ascii="仿宋_GB2312" w:eastAsia="仿宋_GB2312" w:cs="Arial" w:hAnsiTheme="majorEastAsia"/>
          <w:kern w:val="0"/>
          <w:sz w:val="32"/>
          <w:szCs w:val="32"/>
          <w:highlight w:val="none"/>
        </w:rPr>
      </w:pPr>
      <w:r>
        <w:rPr>
          <w:rFonts w:hint="eastAsia" w:ascii="仿宋_GB2312" w:eastAsia="仿宋_GB2312" w:cs="Arial" w:hAnsiTheme="majorEastAsia"/>
          <w:kern w:val="0"/>
          <w:sz w:val="32"/>
          <w:szCs w:val="32"/>
        </w:rPr>
        <w:t>（</w:t>
      </w:r>
      <w:r>
        <w:rPr>
          <w:rFonts w:hint="eastAsia" w:ascii="仿宋_GB2312" w:eastAsia="仿宋_GB2312" w:cs="Arial" w:hAnsiTheme="majorEastAsia"/>
          <w:kern w:val="0"/>
          <w:sz w:val="32"/>
          <w:szCs w:val="32"/>
          <w:lang w:val="en-US" w:eastAsia="zh-CN"/>
        </w:rPr>
        <w:t>五</w:t>
      </w:r>
      <w:r>
        <w:rPr>
          <w:rFonts w:hint="eastAsia" w:ascii="仿宋_GB2312" w:eastAsia="仿宋_GB2312" w:cs="Arial" w:hAnsiTheme="majorEastAsia"/>
          <w:kern w:val="0"/>
          <w:sz w:val="32"/>
          <w:szCs w:val="32"/>
        </w:rPr>
        <w:t>）</w:t>
      </w:r>
      <w:r>
        <w:rPr>
          <w:rFonts w:hint="eastAsia" w:ascii="仿宋_GB2312" w:eastAsia="仿宋_GB2312" w:cs="Arial" w:hAnsiTheme="majorEastAsia"/>
          <w:kern w:val="0"/>
          <w:sz w:val="32"/>
          <w:szCs w:val="32"/>
          <w:highlight w:val="none"/>
          <w:lang w:val="en-US" w:eastAsia="zh-CN"/>
        </w:rPr>
        <w:t>承租人应保证</w:t>
      </w:r>
      <w:r>
        <w:rPr>
          <w:rFonts w:hint="eastAsia" w:ascii="仿宋_GB2312" w:eastAsia="仿宋_GB2312" w:cs="Arial" w:hAnsiTheme="majorEastAsia"/>
          <w:kern w:val="0"/>
          <w:sz w:val="32"/>
          <w:szCs w:val="32"/>
          <w:lang w:val="en-US" w:eastAsia="zh-CN"/>
        </w:rPr>
        <w:t>自助设备（生活保供类-寄存柜）</w:t>
      </w:r>
      <w:r>
        <w:rPr>
          <w:rFonts w:hint="eastAsia" w:ascii="仿宋_GB2312" w:eastAsia="仿宋_GB2312" w:cs="Arial" w:hAnsiTheme="majorEastAsia"/>
          <w:kern w:val="0"/>
          <w:sz w:val="32"/>
          <w:szCs w:val="32"/>
          <w:highlight w:val="none"/>
          <w:lang w:val="en-US" w:eastAsia="zh-CN"/>
        </w:rPr>
        <w:t>的安全使用并</w:t>
      </w:r>
      <w:r>
        <w:rPr>
          <w:rFonts w:hint="eastAsia" w:ascii="仿宋_GB2312" w:eastAsia="仿宋_GB2312" w:cs="Arial" w:hAnsiTheme="majorEastAsia"/>
          <w:kern w:val="0"/>
          <w:sz w:val="32"/>
          <w:szCs w:val="32"/>
          <w:highlight w:val="none"/>
        </w:rPr>
        <w:t>取得相应授权</w:t>
      </w:r>
      <w:r>
        <w:rPr>
          <w:rFonts w:hint="eastAsia" w:ascii="仿宋_GB2312" w:eastAsia="仿宋_GB2312" w:cs="Arial" w:hAnsiTheme="majorEastAsia"/>
          <w:kern w:val="0"/>
          <w:sz w:val="32"/>
          <w:szCs w:val="32"/>
          <w:highlight w:val="none"/>
          <w:lang w:eastAsia="zh-CN"/>
        </w:rPr>
        <w:t>，</w:t>
      </w:r>
      <w:r>
        <w:rPr>
          <w:rFonts w:hint="eastAsia" w:ascii="仿宋_GB2312" w:eastAsia="仿宋_GB2312" w:cs="Arial" w:hAnsiTheme="majorEastAsia"/>
          <w:kern w:val="0"/>
          <w:sz w:val="32"/>
          <w:szCs w:val="32"/>
          <w:highlight w:val="none"/>
          <w:lang w:val="en-US" w:eastAsia="zh-CN"/>
        </w:rPr>
        <w:t>严禁投放“三无产品”，若所投放设备出现</w:t>
      </w:r>
      <w:r>
        <w:rPr>
          <w:rFonts w:hint="eastAsia" w:ascii="仿宋_GB2312" w:eastAsia="仿宋_GB2312" w:cs="Arial" w:hAnsiTheme="majorEastAsia"/>
          <w:kern w:val="0"/>
          <w:sz w:val="32"/>
          <w:szCs w:val="32"/>
          <w:highlight w:val="none"/>
        </w:rPr>
        <w:t>质量</w:t>
      </w:r>
      <w:r>
        <w:rPr>
          <w:rFonts w:hint="eastAsia" w:ascii="仿宋_GB2312" w:eastAsia="仿宋_GB2312" w:cs="Arial" w:hAnsiTheme="majorEastAsia"/>
          <w:kern w:val="0"/>
          <w:sz w:val="32"/>
          <w:szCs w:val="32"/>
          <w:highlight w:val="none"/>
          <w:lang w:val="en-US" w:eastAsia="zh-CN"/>
        </w:rPr>
        <w:t>或使用</w:t>
      </w:r>
      <w:r>
        <w:rPr>
          <w:rFonts w:hint="eastAsia" w:ascii="仿宋_GB2312" w:eastAsia="仿宋_GB2312" w:cs="Arial" w:hAnsiTheme="majorEastAsia"/>
          <w:kern w:val="0"/>
          <w:sz w:val="32"/>
          <w:szCs w:val="32"/>
          <w:highlight w:val="none"/>
        </w:rPr>
        <w:t>问题，相关争议、纠纷由承租人负责处理并承担全部责任。</w:t>
      </w:r>
    </w:p>
    <w:p w14:paraId="28DDF0F7">
      <w:pPr>
        <w:spacing w:line="360" w:lineRule="auto"/>
        <w:ind w:right="-483" w:rightChars="-230" w:firstLine="640" w:firstLineChars="200"/>
        <w:rPr>
          <w:rFonts w:hint="eastAsia" w:ascii="仿宋_GB2312" w:eastAsia="仿宋_GB2312" w:cs="Arial" w:hAnsiTheme="majorEastAsia"/>
          <w:kern w:val="0"/>
          <w:sz w:val="32"/>
          <w:szCs w:val="32"/>
        </w:rPr>
      </w:pPr>
      <w:r>
        <w:rPr>
          <w:rFonts w:hint="eastAsia" w:ascii="仿宋_GB2312" w:eastAsia="仿宋_GB2312" w:cs="Arial" w:hAnsiTheme="majorEastAsia"/>
          <w:kern w:val="0"/>
          <w:sz w:val="32"/>
          <w:szCs w:val="32"/>
        </w:rPr>
        <w:t>（</w:t>
      </w:r>
      <w:r>
        <w:rPr>
          <w:rFonts w:hint="eastAsia" w:ascii="仿宋_GB2312" w:eastAsia="仿宋_GB2312" w:cs="Arial" w:hAnsiTheme="majorEastAsia"/>
          <w:kern w:val="0"/>
          <w:sz w:val="32"/>
          <w:szCs w:val="32"/>
          <w:lang w:val="en-US" w:eastAsia="zh-CN"/>
        </w:rPr>
        <w:t>六</w:t>
      </w:r>
      <w:r>
        <w:rPr>
          <w:rFonts w:hint="eastAsia" w:ascii="仿宋_GB2312" w:eastAsia="仿宋_GB2312" w:cs="Arial" w:hAnsiTheme="majorEastAsia"/>
          <w:kern w:val="0"/>
          <w:sz w:val="32"/>
          <w:szCs w:val="32"/>
        </w:rPr>
        <w:t>）承租人进场施工、维护，须按照出租人相关施工管理规定办理施工许可。承租人负责自助设备的维修和保养，维护工作不得影响车站正常的运营秩序</w:t>
      </w:r>
      <w:r>
        <w:rPr>
          <w:rFonts w:hint="eastAsia" w:ascii="仿宋_GB2312" w:eastAsia="仿宋_GB2312" w:cs="Arial" w:hAnsiTheme="majorEastAsia"/>
          <w:kern w:val="0"/>
          <w:sz w:val="32"/>
          <w:szCs w:val="32"/>
          <w:lang w:eastAsia="zh-CN"/>
        </w:rPr>
        <w:t>，</w:t>
      </w:r>
      <w:r>
        <w:rPr>
          <w:rFonts w:hint="eastAsia" w:ascii="仿宋_GB2312" w:eastAsia="仿宋_GB2312" w:cs="Arial" w:hAnsiTheme="majorEastAsia"/>
          <w:kern w:val="0"/>
          <w:sz w:val="32"/>
          <w:szCs w:val="32"/>
          <w:lang w:val="en-US" w:eastAsia="zh-CN"/>
        </w:rPr>
        <w:t>若因维修和保养不当导致影响主业带来的相关后果由承租人承担</w:t>
      </w:r>
      <w:r>
        <w:rPr>
          <w:rFonts w:hint="eastAsia" w:ascii="仿宋_GB2312" w:eastAsia="仿宋_GB2312" w:cs="Arial" w:hAnsiTheme="majorEastAsia"/>
          <w:kern w:val="0"/>
          <w:sz w:val="32"/>
          <w:szCs w:val="32"/>
        </w:rPr>
        <w:t>。</w:t>
      </w:r>
    </w:p>
    <w:p w14:paraId="70EEC3AB">
      <w:pPr>
        <w:spacing w:line="360" w:lineRule="auto"/>
        <w:ind w:right="-483" w:rightChars="-230" w:firstLine="640" w:firstLineChars="200"/>
        <w:rPr>
          <w:rFonts w:hint="eastAsia" w:ascii="仿宋_GB2312" w:eastAsia="仿宋_GB2312" w:cs="Arial" w:hAnsiTheme="majorEastAsia"/>
          <w:kern w:val="0"/>
          <w:sz w:val="32"/>
          <w:szCs w:val="32"/>
          <w:lang w:val="en-US" w:eastAsia="zh-CN"/>
        </w:rPr>
      </w:pPr>
      <w:r>
        <w:rPr>
          <w:rFonts w:hint="eastAsia" w:ascii="仿宋_GB2312" w:eastAsia="仿宋_GB2312" w:cs="Arial" w:hAnsiTheme="majorEastAsia"/>
          <w:kern w:val="0"/>
          <w:sz w:val="32"/>
          <w:szCs w:val="32"/>
          <w:lang w:val="en-US" w:eastAsia="zh-CN"/>
        </w:rPr>
        <w:t>（七）承租人自行做好自助设备（生活保供类-寄存柜）的安全防范工作，购买相应保险，并定期组织设施设备防盗、防电等安全检查工作，若因相关安全防范措施不到位造成安全事故或导致损失，由承租人自行承担。</w:t>
      </w:r>
    </w:p>
    <w:p w14:paraId="47DDDE57">
      <w:pPr>
        <w:spacing w:line="360" w:lineRule="auto"/>
        <w:ind w:right="-483" w:rightChars="-230" w:firstLine="640" w:firstLineChars="200"/>
        <w:rPr>
          <w:rFonts w:hint="eastAsia" w:ascii="仿宋_GB2312" w:eastAsia="仿宋_GB2312" w:cs="Arial" w:hAnsiTheme="majorEastAsia"/>
          <w:kern w:val="0"/>
          <w:sz w:val="32"/>
          <w:szCs w:val="32"/>
          <w:lang w:val="en-US" w:eastAsia="zh-CN"/>
        </w:rPr>
      </w:pPr>
      <w:r>
        <w:rPr>
          <w:rFonts w:hint="eastAsia" w:ascii="仿宋_GB2312" w:eastAsia="仿宋_GB2312" w:cs="Arial" w:hAnsiTheme="majorEastAsia"/>
          <w:kern w:val="0"/>
          <w:sz w:val="32"/>
          <w:szCs w:val="32"/>
          <w:lang w:eastAsia="zh-CN"/>
        </w:rPr>
        <w:t>（</w:t>
      </w:r>
      <w:r>
        <w:rPr>
          <w:rFonts w:hint="eastAsia" w:ascii="仿宋_GB2312" w:eastAsia="仿宋_GB2312" w:cs="Arial" w:hAnsiTheme="majorEastAsia"/>
          <w:kern w:val="0"/>
          <w:sz w:val="32"/>
          <w:szCs w:val="32"/>
          <w:lang w:val="en-US" w:eastAsia="zh-CN"/>
        </w:rPr>
        <w:t>八</w:t>
      </w:r>
      <w:r>
        <w:rPr>
          <w:rFonts w:hint="eastAsia" w:ascii="仿宋_GB2312" w:eastAsia="仿宋_GB2312" w:cs="Arial" w:hAnsiTheme="majorEastAsia"/>
          <w:kern w:val="0"/>
          <w:sz w:val="32"/>
          <w:szCs w:val="32"/>
          <w:lang w:eastAsia="zh-CN"/>
        </w:rPr>
        <w:t>）</w:t>
      </w:r>
      <w:r>
        <w:rPr>
          <w:rFonts w:hint="eastAsia" w:ascii="仿宋_GB2312" w:eastAsia="仿宋_GB2312" w:cs="Arial" w:hAnsiTheme="majorEastAsia"/>
          <w:kern w:val="0"/>
          <w:sz w:val="32"/>
          <w:szCs w:val="32"/>
        </w:rPr>
        <w:t>鉴于地铁的特殊性和公益性，</w:t>
      </w:r>
      <w:r>
        <w:rPr>
          <w:rFonts w:hint="eastAsia" w:ascii="仿宋_GB2312" w:eastAsia="仿宋_GB2312" w:cs="Arial" w:hAnsiTheme="majorEastAsia"/>
          <w:kern w:val="0"/>
          <w:sz w:val="32"/>
          <w:szCs w:val="32"/>
          <w:lang w:val="en-US" w:eastAsia="zh-CN"/>
        </w:rPr>
        <w:t>出租人提供的</w:t>
      </w:r>
      <w:r>
        <w:rPr>
          <w:rFonts w:hint="eastAsia" w:ascii="仿宋_GB2312" w:eastAsia="仿宋_GB2312" w:cs="Arial" w:hAnsiTheme="majorEastAsia"/>
          <w:kern w:val="0"/>
          <w:sz w:val="32"/>
          <w:szCs w:val="32"/>
        </w:rPr>
        <w:t>自助贩售设备</w:t>
      </w:r>
      <w:r>
        <w:rPr>
          <w:rFonts w:hint="eastAsia" w:ascii="仿宋_GB2312" w:eastAsia="仿宋_GB2312" w:cs="Arial" w:hAnsiTheme="majorEastAsia"/>
          <w:kern w:val="0"/>
          <w:sz w:val="32"/>
          <w:szCs w:val="32"/>
          <w:lang w:val="en-US" w:eastAsia="zh-CN"/>
        </w:rPr>
        <w:t>场地布局仅供参考，若因所选场地影响地铁主业运营，以双方最终选择的位置为准。</w:t>
      </w:r>
    </w:p>
    <w:p w14:paraId="4FB2EDCB">
      <w:pPr>
        <w:spacing w:line="360" w:lineRule="auto"/>
        <w:ind w:right="-483" w:rightChars="-230" w:firstLine="960" w:firstLineChars="400"/>
        <w:rPr>
          <w:rFonts w:hint="eastAsia" w:ascii="仿宋_GB2312" w:eastAsia="仿宋_GB2312" w:cs="Arial" w:hAnsiTheme="majorEastAsia"/>
          <w:kern w:val="0"/>
          <w:sz w:val="24"/>
          <w:szCs w:val="24"/>
        </w:rPr>
      </w:pPr>
    </w:p>
    <w:p w14:paraId="51D1BCFB">
      <w:pPr>
        <w:spacing w:line="360" w:lineRule="auto"/>
        <w:ind w:right="-483" w:rightChars="-230" w:firstLine="960" w:firstLineChars="400"/>
        <w:rPr>
          <w:rFonts w:hint="eastAsia" w:ascii="仿宋_GB2312" w:eastAsia="仿宋_GB2312" w:cs="Arial" w:hAnsiTheme="majorEastAsia"/>
          <w:kern w:val="0"/>
          <w:sz w:val="24"/>
          <w:szCs w:val="24"/>
        </w:rPr>
        <w:sectPr>
          <w:footerReference r:id="rId3" w:type="default"/>
          <w:pgSz w:w="11906" w:h="16838"/>
          <w:pgMar w:top="1440" w:right="1797" w:bottom="1440" w:left="1797" w:header="851" w:footer="992" w:gutter="0"/>
          <w:cols w:space="425" w:num="1"/>
          <w:docGrid w:type="lines" w:linePitch="312" w:charSpace="0"/>
        </w:sectPr>
      </w:pPr>
    </w:p>
    <w:p w14:paraId="666FF68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8FA462B"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903E748"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903E748"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9F65E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qFormat="1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adjustRightInd w:val="0"/>
      <w:spacing w:line="360" w:lineRule="atLeast"/>
      <w:ind w:firstLine="420"/>
      <w:textAlignment w:val="baseline"/>
    </w:pPr>
  </w:style>
  <w:style w:type="paragraph" w:styleId="3">
    <w:name w:val="annotation text"/>
    <w:basedOn w:val="1"/>
    <w:unhideWhenUsed/>
    <w:qFormat/>
    <w:uiPriority w:val="0"/>
    <w:pPr>
      <w:jc w:val="left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怡~ (^.^)</cp:lastModifiedBy>
  <dcterms:modified xsi:type="dcterms:W3CDTF">2025-04-01T06:43:55Z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eyJoZGlkIjoiYTkwMzAxYzNjYWIxZDY1MGVhZTVmM2JmNTNjNGQ5MmQiLCJ1c2VySWQiOiI0NTA3MzA5NzYifQ==</vt:lpwstr>
  </property>
  <property fmtid="{D5CDD505-2E9C-101B-9397-08002B2CF9AE}" pid="4" name="ICV">
    <vt:lpwstr>C619800516B04EEF8164A7DF97FB2882_12</vt:lpwstr>
  </property>
</Properties>
</file>