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4166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04225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 xml:space="preserve">成品粮储备委托储存协议 </w:t>
      </w:r>
    </w:p>
    <w:p w14:paraId="03FD12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0D41AFB5">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bookmarkStart w:id="0" w:name="_GoBack"/>
      <w:bookmarkEnd w:id="0"/>
    </w:p>
    <w:p w14:paraId="4B293A2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65CE2A6">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02059A90">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1AE685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FB490F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EA1F5F1">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E35DB20">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1F257DA">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57F39B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3232BE">
      <w:pPr>
        <w:rPr>
          <w:rFonts w:ascii="仿宋" w:eastAsia="仿宋"/>
          <w:b/>
          <w:bCs/>
          <w:color w:val="000000"/>
          <w:kern w:val="0"/>
          <w:sz w:val="40"/>
          <w:szCs w:val="40"/>
          <w:highlight w:val="none"/>
        </w:rPr>
      </w:pPr>
    </w:p>
    <w:p w14:paraId="2E17F91D">
      <w:pPr>
        <w:pStyle w:val="2"/>
        <w:rPr>
          <w:rFonts w:ascii="仿宋" w:eastAsia="仿宋"/>
          <w:b/>
          <w:bCs/>
          <w:color w:val="000000"/>
          <w:kern w:val="0"/>
          <w:sz w:val="40"/>
          <w:szCs w:val="40"/>
          <w:highlight w:val="none"/>
        </w:rPr>
      </w:pPr>
    </w:p>
    <w:p w14:paraId="10DC66CA">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9B63DC8">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36C12446">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贵阳市乌当区国粮购销有限公司</w:t>
      </w:r>
      <w:r>
        <w:rPr>
          <w:rFonts w:hint="eastAsia" w:ascii="楷体_GB2312" w:eastAsia="楷体_GB2312" w:cs="楷体_GB2312"/>
          <w:b/>
          <w:bCs/>
          <w:color w:val="000000"/>
          <w:kern w:val="0"/>
          <w:sz w:val="44"/>
          <w:szCs w:val="44"/>
          <w:highlight w:val="none"/>
          <w:lang w:val="en-US" w:eastAsia="zh-CN"/>
        </w:rPr>
        <w:t>成品粮油储备委托储存</w:t>
      </w:r>
    </w:p>
    <w:p w14:paraId="1396D19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甲方：贵阳</w:t>
      </w:r>
      <w:r>
        <w:rPr>
          <w:rFonts w:hint="eastAsia" w:ascii="方正仿宋_GB2312" w:hAnsi="方正仿宋_GB2312" w:eastAsia="方正仿宋_GB2312" w:cs="方正仿宋_GB2312"/>
          <w:sz w:val="32"/>
          <w:szCs w:val="32"/>
          <w:highlight w:val="none"/>
          <w:lang w:eastAsia="zh-CN"/>
        </w:rPr>
        <w:t>市乌当区国粮购销</w:t>
      </w:r>
      <w:r>
        <w:rPr>
          <w:rFonts w:hint="eastAsia" w:ascii="方正仿宋_GB2312" w:hAnsi="方正仿宋_GB2312" w:eastAsia="方正仿宋_GB2312" w:cs="方正仿宋_GB2312"/>
          <w:sz w:val="32"/>
          <w:szCs w:val="32"/>
          <w:highlight w:val="none"/>
        </w:rPr>
        <w:t>有限公司</w:t>
      </w:r>
    </w:p>
    <w:p w14:paraId="6C6A282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5AD86C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南明区发展和改革局、南明区财政局《关于下达南明区2024年度新增区级成品粮油计划的通知》（南发改通〔2024〕11号）文件和《贵阳市市级成品粮油储备管理实施细则》(筑粮联〔2022〕57号)文件，甲方委托乙方代储县级储备成品【品种】【数量】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县级储备成品【品种】</w:t>
      </w:r>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93A2F99">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15BE2EE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【品种】共计【数量】吨，规格为【    】。</w:t>
      </w:r>
    </w:p>
    <w:p w14:paraId="488D69A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6DA3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32BC7164">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157" w:type="dxa"/>
            <w:noWrap/>
          </w:tcPr>
          <w:p w14:paraId="270B5D9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2B46A2D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77F4122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29F7188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4D14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right w:val="single" w:color="auto" w:sz="4" w:space="0"/>
            </w:tcBorders>
            <w:noWrap/>
          </w:tcPr>
          <w:p w14:paraId="531759EA">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【品种】</w:t>
            </w:r>
          </w:p>
        </w:tc>
        <w:tc>
          <w:tcPr>
            <w:tcW w:w="1157" w:type="dxa"/>
            <w:tcBorders>
              <w:top w:val="single" w:color="auto" w:sz="4" w:space="0"/>
              <w:left w:val="single" w:color="auto" w:sz="4" w:space="0"/>
              <w:right w:val="single" w:color="auto" w:sz="4" w:space="0"/>
            </w:tcBorders>
            <w:noWrap/>
          </w:tcPr>
          <w:p w14:paraId="355AE6F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right w:val="single" w:color="auto" w:sz="4" w:space="0"/>
            </w:tcBorders>
            <w:noWrap/>
          </w:tcPr>
          <w:p w14:paraId="1067730F">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【数量】</w:t>
            </w:r>
          </w:p>
        </w:tc>
        <w:tc>
          <w:tcPr>
            <w:tcW w:w="2013" w:type="dxa"/>
            <w:tcBorders>
              <w:top w:val="single" w:color="auto" w:sz="4" w:space="0"/>
              <w:left w:val="single" w:color="auto" w:sz="4" w:space="0"/>
              <w:right w:val="single" w:color="auto" w:sz="4" w:space="0"/>
            </w:tcBorders>
            <w:noWrap/>
          </w:tcPr>
          <w:p w14:paraId="6C75635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【单价】</w:t>
            </w:r>
          </w:p>
        </w:tc>
        <w:tc>
          <w:tcPr>
            <w:tcW w:w="2457" w:type="dxa"/>
            <w:tcBorders>
              <w:top w:val="single" w:color="auto" w:sz="4" w:space="0"/>
              <w:left w:val="single" w:color="auto" w:sz="4" w:space="0"/>
              <w:right w:val="single" w:color="auto" w:sz="4" w:space="0"/>
            </w:tcBorders>
            <w:noWrap/>
          </w:tcPr>
          <w:p w14:paraId="7FD293E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【总价】</w:t>
            </w:r>
          </w:p>
        </w:tc>
      </w:tr>
    </w:tbl>
    <w:p w14:paraId="127CEF68">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5916D7D">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eastAsia" w:ascii="方正仿宋_GB2312" w:hAnsi="方正仿宋_GB2312" w:eastAsia="方正仿宋_GB2312" w:cs="方正仿宋_GB2312"/>
          <w:b w:val="0"/>
          <w:bCs w:val="0"/>
          <w:color w:val="1A1A1A"/>
          <w:kern w:val="2"/>
          <w:sz w:val="32"/>
          <w:szCs w:val="32"/>
          <w:u w:val="single"/>
          <w:lang w:val="en-US" w:eastAsia="zh-CN" w:bidi="ar"/>
        </w:rPr>
      </w:pPr>
      <w:r>
        <w:rPr>
          <w:rFonts w:hint="eastAsia" w:ascii="方正仿宋_GB2312" w:hAnsi="方正仿宋_GB2312" w:eastAsia="方正仿宋_GB2312" w:cs="方正仿宋_GB2312"/>
          <w:sz w:val="32"/>
          <w:szCs w:val="32"/>
        </w:rPr>
        <w:t>质量标准：</w:t>
      </w:r>
      <w:r>
        <w:rPr>
          <w:rFonts w:hint="eastAsia" w:ascii="方正仿宋_GB2312" w:hAnsi="方正仿宋_GB2312" w:eastAsia="方正仿宋_GB2312" w:cs="方正仿宋_GB2312"/>
          <w:sz w:val="32"/>
          <w:szCs w:val="32"/>
          <w:u w:val="single"/>
          <w:lang w:val="en-US" w:eastAsia="zh-CN"/>
        </w:rPr>
        <w:t xml:space="preserve">                                         </w:t>
      </w:r>
    </w:p>
    <w:p w14:paraId="7D68C063">
      <w:pPr>
        <w:keepNext w:val="0"/>
        <w:keepLines w:val="0"/>
        <w:pageBreakBefore w:val="0"/>
        <w:tabs>
          <w:tab w:val="left" w:pos="1280"/>
        </w:tabs>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26D46FC5">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lang w:val="en-US"/>
        </w:rPr>
      </w:pPr>
    </w:p>
    <w:p w14:paraId="2392DAA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4E6A2E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代储县级储备成品</w:t>
      </w:r>
      <w:r>
        <w:rPr>
          <w:rFonts w:hint="eastAsia" w:ascii="方正仿宋_GB2312" w:hAnsi="方正仿宋_GB2312" w:eastAsia="方正仿宋_GB2312" w:cs="方正仿宋_GB2312"/>
          <w:sz w:val="32"/>
          <w:szCs w:val="32"/>
          <w:highlight w:val="none"/>
          <w:lang w:val="en-US" w:eastAsia="zh-CN"/>
        </w:rPr>
        <w:t>【品种】符合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C71C7D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【品种】库存数量不低于代储数量的90%（即【数量】吨），且质量不得低于第一次采购入库验收的等级标准。</w:t>
      </w:r>
    </w:p>
    <w:p w14:paraId="43094B3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【品种】必须提供有效、合格的质检报告。</w:t>
      </w:r>
    </w:p>
    <w:p w14:paraId="2729432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（四）乙方为甲方代储的县级储备成品【品种】包装和标签必须符合国家标准。</w:t>
      </w:r>
    </w:p>
    <w:p w14:paraId="343849F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（五）县级储备成品【品种】规格要求为【规格】（含）及以下。为便于乙方轮换，上述规格在日常动态轮换管理中可适当放宽，原则上符合规格要求的不低于总代储数量的70%（即【数量】吨）。</w:t>
      </w:r>
    </w:p>
    <w:p w14:paraId="69BBB6A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0DA9A9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【数量】</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【地点】</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5D1020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0C5ACAE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FEADF1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535D37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0A21BFB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（六）政府需要动用该批县级储备成品【品种】时，乙方不得以任何理由或方式阻止该批县级储备成品【品种】的出库。</w:t>
      </w:r>
    </w:p>
    <w:p w14:paraId="29E0B3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（七）该批县级储备成品【品种】在有效期内至少每年整体轮换1次，质保期为【】个月的，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质保期为【】个月的，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p>
    <w:p w14:paraId="7A4C9A6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（八）其他管理规定参照《贵阳市市级成品粮油储备管理实施细则》和《南明区区级储备粮管理办法》执行。</w:t>
      </w:r>
    </w:p>
    <w:p w14:paraId="7C9060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4EDF3675">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单价</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【单价】</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12B7EC2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按照实际代储时间和区财政局费用拨付情况计算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385D52D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1BC48A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4D800A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2585B9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w:t>
      </w:r>
      <w:r>
        <w:rPr>
          <w:rFonts w:hint="eastAsia" w:ascii="方正仿宋_GB2312" w:hAnsi="方正仿宋_GB2312" w:eastAsia="方正仿宋_GB2312" w:cs="方正仿宋_GB2312"/>
          <w:sz w:val="32"/>
          <w:szCs w:val="32"/>
          <w:highlight w:val="none"/>
          <w:lang w:eastAsia="zh-CN"/>
        </w:rPr>
        <w:t>县</w:t>
      </w:r>
      <w:r>
        <w:rPr>
          <w:rFonts w:hint="eastAsia" w:ascii="方正仿宋_GB2312" w:hAnsi="方正仿宋_GB2312" w:eastAsia="方正仿宋_GB2312" w:cs="方正仿宋_GB2312"/>
          <w:sz w:val="32"/>
          <w:szCs w:val="32"/>
          <w:highlight w:val="none"/>
        </w:rPr>
        <w:t>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1EAEB4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color w:val="auto"/>
          <w:sz w:val="32"/>
          <w:szCs w:val="32"/>
          <w:highlight w:val="none"/>
          <w:lang w:eastAsia="zh-CN"/>
        </w:rPr>
        <w:t>南明区县</w:t>
      </w:r>
      <w:r>
        <w:rPr>
          <w:rFonts w:hint="eastAsia" w:ascii="方正仿宋_GB2312" w:hAnsi="方正仿宋_GB2312" w:eastAsia="方正仿宋_GB2312" w:cs="方正仿宋_GB2312"/>
          <w:color w:val="auto"/>
          <w:sz w:val="32"/>
          <w:szCs w:val="32"/>
          <w:highlight w:val="none"/>
        </w:rPr>
        <w:t>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w:t>
      </w:r>
      <w:r>
        <w:rPr>
          <w:rFonts w:hint="eastAsia" w:ascii="方正仿宋_GB2312" w:hAnsi="方正仿宋_GB2312" w:eastAsia="方正仿宋_GB2312" w:cs="方正仿宋_GB2312"/>
          <w:color w:val="000000"/>
          <w:sz w:val="32"/>
          <w:szCs w:val="32"/>
          <w:highlight w:val="none"/>
          <w:lang w:eastAsia="zh-CN"/>
        </w:rPr>
        <w:t>南明区</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03805B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【品种】安全时，应立即通知甲方，并采取必要措施，防止事态蔓延，减少经济损失。</w:t>
      </w:r>
    </w:p>
    <w:p w14:paraId="67AE76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1D1F9D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 xml:space="preserve">      </w:t>
      </w:r>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本协议</w:t>
      </w:r>
      <w:r>
        <w:rPr>
          <w:rFonts w:hint="eastAsia" w:ascii="方正仿宋_GB2312" w:hAnsi="方正仿宋_GB2312" w:eastAsia="方正仿宋_GB2312" w:cs="方正仿宋_GB2312"/>
          <w:sz w:val="32"/>
          <w:szCs w:val="32"/>
          <w:highlight w:val="none"/>
          <w:lang w:val="en-US" w:eastAsia="zh-CN"/>
        </w:rPr>
        <w:t>解除后7个工作日内</w:t>
      </w:r>
      <w:r>
        <w:rPr>
          <w:rFonts w:hint="eastAsia" w:ascii="方正仿宋_GB2312" w:hAnsi="方正仿宋_GB2312" w:eastAsia="方正仿宋_GB2312" w:cs="方正仿宋_GB2312"/>
          <w:sz w:val="32"/>
          <w:szCs w:val="32"/>
          <w:highlight w:val="none"/>
        </w:rPr>
        <w:t>保证金全部归还乙方，保证金不计利息。</w:t>
      </w:r>
    </w:p>
    <w:p w14:paraId="0826ED9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58632B4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716E422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乙方须在签订本协议之日前五个工作日内，按该批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5FD92F1E">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13DE5E12">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（二）</w:t>
      </w:r>
      <w:r>
        <w:rPr>
          <w:rFonts w:hint="eastAsia" w:ascii="方正仿宋_GB2312" w:hAnsi="方正仿宋_GB2312" w:eastAsia="方正仿宋_GB2312" w:cs="方正仿宋_GB2312"/>
          <w:color w:val="auto"/>
          <w:kern w:val="2"/>
          <w:sz w:val="32"/>
          <w:szCs w:val="32"/>
          <w:highlight w:val="none"/>
          <w:lang w:val="en-US" w:eastAsia="zh-CN" w:bidi="ar-SA"/>
        </w:rPr>
        <w:t>若乙方在规定时间内未提供有效的担保资料，本协议终止，并承担一切责任及损失。</w:t>
      </w:r>
    </w:p>
    <w:p w14:paraId="29447921">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highlight w:val="yellow"/>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三）由甲方聘请第三方评估机构对乙方所抵押或质押资产出具评估报告，并明确约定抵押、质押财物的具体描述、估值的全资担保资料。甲方收到乙方担保资料后，将核对乙方提供的担保资料的有效性，若担保资料无效，乙方须重新提供，相关费用由乙方自理。以上的担保方式，受益人须为甲方。</w:t>
      </w:r>
    </w:p>
    <w:p w14:paraId="6A2E281C">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（四）担保终止：乙方按该批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5EC0D43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5197ECFC">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合同服务期限自生效之日算自然年两年。</w:t>
      </w:r>
    </w:p>
    <w:p w14:paraId="361ABC01">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rPr>
        <w:t>甲方根据乙方在代储合同服务期内的库存数量、</w:t>
      </w:r>
      <w:r>
        <w:rPr>
          <w:rFonts w:hint="eastAsia" w:ascii="方正仿宋_GB2312" w:hAnsi="方正仿宋_GB2312" w:eastAsia="方正仿宋_GB2312" w:cs="方正仿宋_GB2312"/>
          <w:sz w:val="32"/>
          <w:szCs w:val="32"/>
          <w:highlight w:val="none"/>
          <w:lang w:val="en-US" w:eastAsia="zh-CN"/>
        </w:rPr>
        <w:t>质量、环境</w:t>
      </w:r>
      <w:r>
        <w:rPr>
          <w:rFonts w:hint="eastAsia" w:ascii="方正仿宋_GB2312" w:hAnsi="方正仿宋_GB2312" w:eastAsia="方正仿宋_GB2312" w:cs="方正仿宋_GB2312"/>
          <w:sz w:val="32"/>
          <w:szCs w:val="32"/>
          <w:highlight w:val="none"/>
        </w:rPr>
        <w:t>卫生、规范管理、食品安全</w:t>
      </w:r>
      <w:r>
        <w:rPr>
          <w:rFonts w:hint="eastAsia" w:ascii="方正仿宋_GB2312" w:hAnsi="方正仿宋_GB2312" w:eastAsia="方正仿宋_GB2312" w:cs="方正仿宋_GB2312"/>
          <w:sz w:val="32"/>
          <w:szCs w:val="32"/>
          <w:highlight w:val="none"/>
          <w:lang w:eastAsia="zh-CN"/>
        </w:rPr>
        <w:t>、经营状况</w:t>
      </w:r>
      <w:r>
        <w:rPr>
          <w:rFonts w:hint="eastAsia" w:ascii="方正仿宋_GB2312" w:hAnsi="方正仿宋_GB2312" w:eastAsia="方正仿宋_GB2312" w:cs="方正仿宋_GB2312"/>
          <w:sz w:val="32"/>
          <w:szCs w:val="32"/>
          <w:highlight w:val="none"/>
        </w:rPr>
        <w:t>等方面进行综合评分，乙方得分在85分</w:t>
      </w:r>
      <w:r>
        <w:rPr>
          <w:rFonts w:hint="eastAsia" w:ascii="方正仿宋_GB2312" w:hAnsi="方正仿宋_GB2312" w:eastAsia="方正仿宋_GB2312" w:cs="方正仿宋_GB2312"/>
          <w:sz w:val="32"/>
          <w:szCs w:val="32"/>
          <w:highlight w:val="none"/>
          <w:lang w:eastAsia="zh-CN"/>
        </w:rPr>
        <w:t>及</w:t>
      </w:r>
      <w:r>
        <w:rPr>
          <w:rFonts w:hint="eastAsia" w:ascii="方正仿宋_GB2312" w:hAnsi="方正仿宋_GB2312" w:eastAsia="方正仿宋_GB2312" w:cs="方正仿宋_GB2312"/>
          <w:sz w:val="32"/>
          <w:szCs w:val="32"/>
          <w:highlight w:val="none"/>
        </w:rPr>
        <w:t>以上，可续签代储合同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低于</w:t>
      </w:r>
      <w:r>
        <w:rPr>
          <w:rFonts w:hint="eastAsia" w:ascii="方正仿宋_GB2312" w:hAnsi="方正仿宋_GB2312" w:eastAsia="方正仿宋_GB2312" w:cs="方正仿宋_GB2312"/>
          <w:sz w:val="32"/>
          <w:szCs w:val="32"/>
          <w:highlight w:val="none"/>
        </w:rPr>
        <w:t>85分</w:t>
      </w:r>
      <w:r>
        <w:rPr>
          <w:rFonts w:hint="eastAsia" w:ascii="方正仿宋_GB2312" w:hAnsi="方正仿宋_GB2312" w:eastAsia="方正仿宋_GB2312" w:cs="方正仿宋_GB2312"/>
          <w:sz w:val="32"/>
          <w:szCs w:val="32"/>
          <w:highlight w:val="none"/>
          <w:lang w:val="en-US" w:eastAsia="zh-CN"/>
        </w:rPr>
        <w:t>的，甲方有权</w:t>
      </w:r>
      <w:r>
        <w:rPr>
          <w:rFonts w:hint="eastAsia" w:ascii="方正仿宋_GB2312" w:hAnsi="方正仿宋_GB2312" w:eastAsia="方正仿宋_GB2312" w:cs="方正仿宋_GB2312"/>
          <w:color w:val="000000"/>
          <w:sz w:val="32"/>
          <w:szCs w:val="32"/>
          <w:highlight w:val="none"/>
          <w:lang w:val="en-US" w:eastAsia="zh-CN"/>
        </w:rPr>
        <w:t>终止</w:t>
      </w:r>
      <w:r>
        <w:rPr>
          <w:rFonts w:hint="eastAsia" w:ascii="方正仿宋_GB2312" w:hAnsi="方正仿宋_GB2312" w:eastAsia="方正仿宋_GB2312" w:cs="方正仿宋_GB2312"/>
          <w:sz w:val="32"/>
          <w:szCs w:val="32"/>
          <w:highlight w:val="none"/>
          <w:lang w:val="en-US" w:eastAsia="zh-CN"/>
        </w:rPr>
        <w:t>续签次年合同并解除协议。</w:t>
      </w:r>
    </w:p>
    <w:p w14:paraId="7BA70BB7">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95BE31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color w:val="auto"/>
          <w:sz w:val="32"/>
          <w:szCs w:val="32"/>
          <w:highlight w:val="none"/>
          <w:u w:val="none"/>
          <w:lang w:val="en-US" w:eastAsia="zh-CN"/>
        </w:rPr>
        <w:t>【品种】</w:t>
      </w:r>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69D75ED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71BBA0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color w:val="auto"/>
          <w:sz w:val="32"/>
          <w:szCs w:val="32"/>
          <w:highlight w:val="none"/>
          <w:u w:val="none"/>
          <w:lang w:val="en-US" w:eastAsia="zh-CN"/>
        </w:rPr>
        <w:t>【品种】</w:t>
      </w:r>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52A24E6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043A1E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4CDC6C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w:t>
      </w:r>
      <w:r>
        <w:rPr>
          <w:rFonts w:hint="eastAsia" w:ascii="方正仿宋_GB2312" w:hAnsi="方正仿宋_GB2312" w:eastAsia="方正仿宋_GB2312" w:cs="方正仿宋_GB2312"/>
          <w:sz w:val="32"/>
          <w:szCs w:val="32"/>
          <w:highlight w:val="none"/>
          <w:lang w:eastAsia="zh-CN"/>
        </w:rPr>
        <w:t>县</w:t>
      </w:r>
      <w:r>
        <w:rPr>
          <w:rFonts w:hint="eastAsia" w:ascii="方正仿宋_GB2312" w:hAnsi="方正仿宋_GB2312" w:eastAsia="方正仿宋_GB2312" w:cs="方正仿宋_GB2312"/>
          <w:sz w:val="32"/>
          <w:szCs w:val="32"/>
          <w:highlight w:val="none"/>
        </w:rPr>
        <w:t>级储备</w:t>
      </w:r>
      <w:r>
        <w:rPr>
          <w:rFonts w:hint="eastAsia" w:ascii="方正仿宋_GB2312" w:hAnsi="方正仿宋_GB2312" w:eastAsia="方正仿宋_GB2312" w:cs="方正仿宋_GB2312"/>
          <w:sz w:val="32"/>
          <w:szCs w:val="32"/>
          <w:highlight w:val="none"/>
          <w:lang w:eastAsia="zh-CN"/>
        </w:rPr>
        <w:t>；</w:t>
      </w:r>
    </w:p>
    <w:p w14:paraId="5898827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5FDFAD6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D1A537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502D0E2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6D6D7DA6">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（二）出现以下情形，甲方有权罚没乙方部分保证金：</w:t>
      </w:r>
    </w:p>
    <w:p w14:paraId="735A52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1.成品粮库存数量低于代储总量90%或</w:t>
      </w:r>
      <w:r>
        <w:rPr>
          <w:rFonts w:hint="eastAsia" w:ascii="方正仿宋_GB2312" w:hAnsi="方正仿宋_GB2312" w:eastAsia="方正仿宋_GB2312" w:cs="方正仿宋_GB2312"/>
          <w:b w:val="0"/>
          <w:bCs w:val="0"/>
          <w:color w:val="000000"/>
          <w:kern w:val="2"/>
          <w:sz w:val="32"/>
          <w:szCs w:val="32"/>
          <w:highlight w:val="none"/>
          <w:lang w:val="en-US" w:eastAsia="zh-CN" w:bidi="ar-SA"/>
        </w:rPr>
        <w:t>农发行专户资金不匹配的，</w:t>
      </w:r>
      <w:r>
        <w:rPr>
          <w:rFonts w:hint="eastAsia" w:ascii="方正仿宋_GB2312" w:hAnsi="方正仿宋_GB2312" w:eastAsia="方正仿宋_GB2312" w:cs="方正仿宋_GB2312"/>
          <w:b w:val="0"/>
          <w:bCs w:val="0"/>
          <w:color w:val="000000"/>
          <w:sz w:val="32"/>
          <w:szCs w:val="32"/>
          <w:highlight w:val="none"/>
          <w:lang w:val="en-US" w:eastAsia="zh-CN"/>
        </w:rPr>
        <w:t>按不足数量比例，每月按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p>
    <w:p w14:paraId="3600BD2F">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w:t>
      </w:r>
      <w:r>
        <w:rPr>
          <w:rFonts w:hint="eastAsia" w:ascii="方正仿宋_GB2312" w:hAnsi="方正仿宋_GB2312" w:eastAsia="方正仿宋_GB2312" w:cs="方正仿宋_GB2312"/>
          <w:color w:val="auto"/>
          <w:sz w:val="32"/>
          <w:szCs w:val="32"/>
          <w:highlight w:val="none"/>
          <w:lang w:val="en-US" w:eastAsia="zh-CN"/>
        </w:rPr>
        <w:t>乙方库存成品粮质量指标</w:t>
      </w:r>
      <w:r>
        <w:rPr>
          <w:rFonts w:hint="eastAsia" w:ascii="方正仿宋_GB2312" w:hAnsi="方正仿宋_GB2312" w:eastAsia="方正仿宋_GB2312" w:cs="方正仿宋_GB2312"/>
          <w:color w:val="auto"/>
          <w:sz w:val="32"/>
          <w:szCs w:val="32"/>
          <w:highlight w:val="none"/>
          <w:u w:val="none"/>
          <w:lang w:val="en-US" w:eastAsia="zh-CN"/>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
        <w:t>按不符合数量比例，</w:t>
      </w:r>
      <w:r>
        <w:rPr>
          <w:rFonts w:hint="eastAsia" w:ascii="方正仿宋_GB2312" w:hAnsi="方正仿宋_GB2312" w:eastAsia="方正仿宋_GB2312" w:cs="方正仿宋_GB2312"/>
          <w:b w:val="0"/>
          <w:bCs w:val="0"/>
          <w:color w:val="000000"/>
          <w:sz w:val="32"/>
          <w:szCs w:val="32"/>
          <w:highlight w:val="none"/>
          <w:lang w:val="en-US" w:eastAsia="zh-CN"/>
        </w:rPr>
        <w:t>每次按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r>
        <w:rPr>
          <w:rFonts w:hint="eastAsia" w:ascii="方正仿宋_GB2312" w:hAnsi="方正仿宋_GB2312" w:eastAsia="方正仿宋_GB2312" w:cs="方正仿宋_GB2312"/>
          <w:b w:val="0"/>
          <w:bCs w:val="0"/>
          <w:color w:val="auto"/>
          <w:sz w:val="32"/>
          <w:szCs w:val="32"/>
          <w:highlight w:val="none"/>
          <w:lang w:val="en-US" w:eastAsia="zh-CN"/>
        </w:rPr>
        <w:t>；</w:t>
      </w:r>
    </w:p>
    <w:p w14:paraId="57AF4EB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3A056DE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3DFCF5C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轮换费标准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减相应比例的轮换费，按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扣罚相应比例的保证金。</w:t>
      </w:r>
    </w:p>
    <w:p w14:paraId="136D097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《南明区区级储备粮管理办法》执行</w:t>
      </w:r>
      <w:r>
        <w:rPr>
          <w:rFonts w:hint="eastAsia" w:ascii="方正仿宋_GB2312" w:hAnsi="方正仿宋_GB2312" w:eastAsia="方正仿宋_GB2312" w:cs="方正仿宋_GB2312"/>
          <w:b w:val="0"/>
          <w:bCs w:val="0"/>
          <w:sz w:val="32"/>
          <w:szCs w:val="32"/>
          <w:highlight w:val="none"/>
          <w:lang w:val="en-US" w:eastAsia="zh-CN"/>
        </w:rPr>
        <w:t>。</w:t>
      </w:r>
    </w:p>
    <w:p w14:paraId="154BDBC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4ACC844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2079B1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1564BA9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2673084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初始价值总额【金额】</w:t>
      </w:r>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0.3</w:t>
      </w:r>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06BABA9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14E750E">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5BEE27A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70FB5C0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6F50305A">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：贵州省贵阳市乌当区区高新路116号</w:t>
      </w:r>
      <w:r>
        <w:rPr>
          <w:rFonts w:hint="eastAsia" w:ascii="方正仿宋_GB2312" w:hAnsi="方正仿宋_GB2312" w:eastAsia="方正仿宋_GB2312" w:cs="方正仿宋_GB2312"/>
          <w:kern w:val="2"/>
          <w:sz w:val="32"/>
          <w:szCs w:val="32"/>
          <w:lang w:val="en-US" w:eastAsia="zh-CN" w:bidi="ar-SA"/>
        </w:rPr>
        <w:t>；</w:t>
      </w:r>
    </w:p>
    <w:p w14:paraId="5E37722D">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474EA60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3F4592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135ECCE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643D8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0AE95F5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E573C3">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54A5AB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7CC1CD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4F745D77">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054FC8A6">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5E52DFFE">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5565A77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rPr>
      </w:pPr>
    </w:p>
    <w:p w14:paraId="51FD6448">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11A096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BD90AC9-5725-480F-BAF3-B32DD26083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BC7E67CA-B5B6-4975-A31B-CE7DD7471538}"/>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B6C570E3-A3C6-4891-9C9C-6D9D7786BC71}"/>
  </w:font>
  <w:font w:name="仿宋">
    <w:panose1 w:val="02010609060101010101"/>
    <w:charset w:val="86"/>
    <w:family w:val="auto"/>
    <w:pitch w:val="default"/>
    <w:sig w:usb0="800002BF" w:usb1="38CF7CFA" w:usb2="00000016" w:usb3="00000000" w:csb0="00040001" w:csb1="00000000"/>
    <w:embedRegular r:id="rId4" w:fontKey="{52ED796C-44B7-496D-9BCF-74BA97050783}"/>
  </w:font>
  <w:font w:name="楷体_GB2312">
    <w:panose1 w:val="02010609030101010101"/>
    <w:charset w:val="86"/>
    <w:family w:val="modern"/>
    <w:pitch w:val="default"/>
    <w:sig w:usb0="00000001" w:usb1="080E0000" w:usb2="00000000" w:usb3="00000000" w:csb0="00040000" w:csb1="00000000"/>
    <w:embedRegular r:id="rId5" w:fontKey="{F3CA0641-1738-45B1-9411-44BF118C38C8}"/>
  </w:font>
  <w:font w:name="方正仿宋_GB2312">
    <w:panose1 w:val="02000000000000000000"/>
    <w:charset w:val="86"/>
    <w:family w:val="auto"/>
    <w:pitch w:val="default"/>
    <w:sig w:usb0="A00002BF" w:usb1="184F6CFA" w:usb2="00000012" w:usb3="00000000" w:csb0="00040001" w:csb1="00000000"/>
    <w:embedRegular r:id="rId6" w:fontKey="{F14B0727-CBA2-4A09-97E2-24CC3257A5DF}"/>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D9517">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30F471F">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30F471F">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WFmZjVlOTYzYWI1YzA4MzVkNjRlMWYxMzlmODExMDAifQ=="/>
  </w:docVars>
  <w:rsids>
    <w:rsidRoot w:val="00000000"/>
    <w:rsid w:val="04A571CA"/>
    <w:rsid w:val="06912ECA"/>
    <w:rsid w:val="0CB1042A"/>
    <w:rsid w:val="114726F3"/>
    <w:rsid w:val="1C625206"/>
    <w:rsid w:val="21B00733"/>
    <w:rsid w:val="24646E92"/>
    <w:rsid w:val="25473008"/>
    <w:rsid w:val="2B81456D"/>
    <w:rsid w:val="33F6DF6A"/>
    <w:rsid w:val="3A7C4FBC"/>
    <w:rsid w:val="3BEFACF5"/>
    <w:rsid w:val="3D966803"/>
    <w:rsid w:val="3E5004CA"/>
    <w:rsid w:val="3F8040E1"/>
    <w:rsid w:val="42111F0F"/>
    <w:rsid w:val="4D0E297B"/>
    <w:rsid w:val="4DF56244"/>
    <w:rsid w:val="4E6F3503"/>
    <w:rsid w:val="577B16C6"/>
    <w:rsid w:val="5BAB1819"/>
    <w:rsid w:val="63ED0F66"/>
    <w:rsid w:val="651851B2"/>
    <w:rsid w:val="6B246B03"/>
    <w:rsid w:val="6B476FBC"/>
    <w:rsid w:val="6DCA7577"/>
    <w:rsid w:val="6EBB7B71"/>
    <w:rsid w:val="735372CE"/>
    <w:rsid w:val="7B3C1C22"/>
    <w:rsid w:val="7BDF6BB1"/>
    <w:rsid w:val="7D6E582F"/>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4182</Words>
  <Characters>4236</Characters>
  <Lines>0</Lines>
  <Paragraphs>97</Paragraphs>
  <TotalTime>0</TotalTime>
  <ScaleCrop>false</ScaleCrop>
  <LinksUpToDate>false</LinksUpToDate>
  <CharactersWithSpaces>4412</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Administrator</cp:lastModifiedBy>
  <cp:lastPrinted>2024-03-22T03:18:00Z</cp:lastPrinted>
  <dcterms:modified xsi:type="dcterms:W3CDTF">2024-11-05T08:00:32Z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3EA88FEFB56446D3BFA9270CBBD61681_13</vt:lpwstr>
  </property>
</Properties>
</file>