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AAF1226">
      <w:pPr>
        <w:adjustRightInd w:val="0"/>
        <w:ind w:right="42" w:rightChars="20"/>
        <w:jc w:val="center"/>
        <w:outlineLvl w:val="1"/>
        <w:rPr>
          <w:rFonts w:ascii="仿宋_GB2312" w:hAnsi="仿宋_GB2312" w:eastAsia="仿宋_GB2312" w:cs="仿宋_GB2312"/>
          <w:b/>
          <w:bCs/>
          <w:color w:val="000000"/>
          <w:sz w:val="28"/>
          <w:szCs w:val="28"/>
          <w:highlight w:val="none"/>
        </w:rPr>
      </w:pPr>
      <w:r>
        <w:rPr>
          <w:rFonts w:hint="eastAsia" w:ascii="仿宋_GB2312" w:hAnsi="仿宋_GB2312" w:eastAsia="仿宋_GB2312" w:cs="仿宋_GB2312"/>
          <w:b/>
          <w:bCs/>
          <w:color w:val="000000"/>
          <w:sz w:val="28"/>
          <w:szCs w:val="28"/>
          <w:highlight w:val="none"/>
        </w:rPr>
        <w:t>出租标的清单</w:t>
      </w:r>
    </w:p>
    <w:tbl>
      <w:tblPr>
        <w:tblStyle w:val="5"/>
        <w:tblW w:w="837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13"/>
        <w:gridCol w:w="1276"/>
        <w:gridCol w:w="2126"/>
        <w:gridCol w:w="2268"/>
        <w:gridCol w:w="1296"/>
      </w:tblGrid>
      <w:tr w14:paraId="33F65C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59" w:hRule="atLeast"/>
          <w:jc w:val="center"/>
        </w:trPr>
        <w:tc>
          <w:tcPr>
            <w:tcW w:w="1413" w:type="dxa"/>
            <w:noWrap w:val="0"/>
            <w:vAlign w:val="center"/>
          </w:tcPr>
          <w:p w14:paraId="3F350366">
            <w:pPr>
              <w:jc w:val="center"/>
              <w:rPr>
                <w:rFonts w:ascii="宋体" w:hAnsi="宋体" w:cs="仿宋_GB2312"/>
                <w:color w:val="000000"/>
                <w:szCs w:val="21"/>
                <w:highlight w:val="none"/>
              </w:rPr>
            </w:pPr>
            <w:r>
              <w:rPr>
                <w:rFonts w:hint="eastAsia" w:ascii="宋体" w:hAnsi="宋体" w:cs="仿宋_GB2312"/>
                <w:color w:val="000000"/>
                <w:szCs w:val="21"/>
                <w:highlight w:val="none"/>
              </w:rPr>
              <w:t>地块名称</w:t>
            </w:r>
          </w:p>
        </w:tc>
        <w:tc>
          <w:tcPr>
            <w:tcW w:w="1276" w:type="dxa"/>
            <w:noWrap w:val="0"/>
            <w:vAlign w:val="center"/>
          </w:tcPr>
          <w:p w14:paraId="50CEFB39">
            <w:pPr>
              <w:jc w:val="center"/>
              <w:rPr>
                <w:rFonts w:ascii="宋体" w:hAnsi="宋体" w:cs="仿宋_GB2312"/>
                <w:color w:val="000000"/>
                <w:szCs w:val="21"/>
                <w:highlight w:val="none"/>
              </w:rPr>
            </w:pPr>
            <w:r>
              <w:rPr>
                <w:rFonts w:hint="eastAsia" w:ascii="宋体" w:hAnsi="宋体" w:cs="仿宋_GB2312"/>
                <w:color w:val="000000"/>
                <w:szCs w:val="21"/>
                <w:highlight w:val="none"/>
              </w:rPr>
              <w:t>面积（㎡）</w:t>
            </w:r>
          </w:p>
        </w:tc>
        <w:tc>
          <w:tcPr>
            <w:tcW w:w="2126" w:type="dxa"/>
            <w:noWrap w:val="0"/>
            <w:vAlign w:val="center"/>
          </w:tcPr>
          <w:p w14:paraId="4CD46639">
            <w:pPr>
              <w:jc w:val="center"/>
              <w:rPr>
                <w:rFonts w:ascii="宋体" w:hAnsi="宋体" w:cs="仿宋_GB2312"/>
                <w:color w:val="000000"/>
                <w:szCs w:val="21"/>
                <w:highlight w:val="none"/>
              </w:rPr>
            </w:pPr>
            <w:r>
              <w:rPr>
                <w:rFonts w:hint="eastAsia" w:ascii="宋体" w:hAnsi="宋体" w:cs="仿宋_GB2312"/>
                <w:color w:val="000000"/>
                <w:szCs w:val="21"/>
                <w:highlight w:val="none"/>
              </w:rPr>
              <w:t>可利用地块（计租面积）（</w:t>
            </w:r>
            <w:r>
              <w:rPr>
                <w:rFonts w:hint="eastAsia" w:ascii="宋体" w:hAnsi="宋体" w:cs="Segoe UI Symbol"/>
                <w:color w:val="000000"/>
                <w:szCs w:val="21"/>
                <w:highlight w:val="none"/>
              </w:rPr>
              <w:t>㎡</w:t>
            </w:r>
            <w:r>
              <w:rPr>
                <w:rFonts w:hint="eastAsia" w:ascii="宋体" w:hAnsi="宋体" w:cs="仿宋_GB2312"/>
                <w:color w:val="000000"/>
                <w:szCs w:val="21"/>
                <w:highlight w:val="none"/>
              </w:rPr>
              <w:t>）</w:t>
            </w:r>
          </w:p>
        </w:tc>
        <w:tc>
          <w:tcPr>
            <w:tcW w:w="2268" w:type="dxa"/>
            <w:noWrap w:val="0"/>
            <w:vAlign w:val="center"/>
          </w:tcPr>
          <w:p w14:paraId="4F446A99">
            <w:pPr>
              <w:jc w:val="center"/>
              <w:rPr>
                <w:rFonts w:ascii="宋体" w:hAnsi="宋体" w:cs="仿宋_GB2312"/>
                <w:color w:val="000000"/>
                <w:szCs w:val="21"/>
                <w:highlight w:val="none"/>
              </w:rPr>
            </w:pPr>
            <w:r>
              <w:rPr>
                <w:rFonts w:hint="eastAsia" w:ascii="宋体" w:hAnsi="宋体" w:cs="仿宋_GB2312"/>
                <w:color w:val="000000"/>
                <w:szCs w:val="21"/>
                <w:highlight w:val="none"/>
              </w:rPr>
              <w:t>不可利用地块（不计租面积即管理面积）（</w:t>
            </w:r>
            <w:r>
              <w:rPr>
                <w:rFonts w:hint="eastAsia" w:ascii="宋体" w:hAnsi="宋体" w:cs="Segoe UI Symbol"/>
                <w:color w:val="000000"/>
                <w:szCs w:val="21"/>
                <w:highlight w:val="none"/>
              </w:rPr>
              <w:t>㎡</w:t>
            </w:r>
            <w:r>
              <w:rPr>
                <w:rFonts w:hint="eastAsia" w:ascii="宋体" w:hAnsi="宋体" w:cs="仿宋_GB2312"/>
                <w:color w:val="000000"/>
                <w:szCs w:val="21"/>
                <w:highlight w:val="none"/>
              </w:rPr>
              <w:t>）</w:t>
            </w:r>
          </w:p>
        </w:tc>
        <w:tc>
          <w:tcPr>
            <w:tcW w:w="1296" w:type="dxa"/>
            <w:noWrap w:val="0"/>
            <w:vAlign w:val="center"/>
          </w:tcPr>
          <w:p w14:paraId="01E323F7">
            <w:pPr>
              <w:jc w:val="center"/>
              <w:rPr>
                <w:rFonts w:ascii="宋体" w:hAnsi="宋体" w:cs="仿宋_GB2312"/>
                <w:color w:val="000000"/>
                <w:szCs w:val="21"/>
                <w:highlight w:val="none"/>
              </w:rPr>
            </w:pPr>
            <w:r>
              <w:rPr>
                <w:rFonts w:hint="eastAsia" w:ascii="宋体" w:hAnsi="宋体" w:cs="仿宋_GB2312"/>
                <w:color w:val="000000"/>
                <w:szCs w:val="21"/>
                <w:highlight w:val="none"/>
              </w:rPr>
              <w:t>备注</w:t>
            </w:r>
          </w:p>
        </w:tc>
      </w:tr>
      <w:tr w14:paraId="6D32890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92" w:hRule="atLeast"/>
          <w:jc w:val="center"/>
        </w:trPr>
        <w:tc>
          <w:tcPr>
            <w:tcW w:w="1413" w:type="dxa"/>
            <w:noWrap w:val="0"/>
            <w:vAlign w:val="center"/>
          </w:tcPr>
          <w:p w14:paraId="4121AE79">
            <w:pPr>
              <w:ind w:right="-483" w:rightChars="-230"/>
              <w:rPr>
                <w:rFonts w:ascii="宋体" w:hAnsi="宋体" w:cs="仿宋_GB2312"/>
                <w:color w:val="000000"/>
                <w:sz w:val="18"/>
                <w:szCs w:val="18"/>
                <w:highlight w:val="none"/>
              </w:rPr>
            </w:pPr>
            <w:r>
              <w:rPr>
                <w:rFonts w:hint="eastAsia" w:ascii="宋体" w:hAnsi="宋体" w:cs="仿宋_GB2312"/>
                <w:color w:val="000000"/>
                <w:sz w:val="18"/>
                <w:szCs w:val="18"/>
                <w:highlight w:val="none"/>
              </w:rPr>
              <w:t>八鸽岩地铁站C</w:t>
            </w:r>
          </w:p>
          <w:p w14:paraId="67B17369">
            <w:pPr>
              <w:ind w:right="-483" w:rightChars="-230"/>
              <w:rPr>
                <w:rFonts w:ascii="宋体" w:hAnsi="宋体" w:cs="仿宋_GB2312"/>
                <w:color w:val="000000"/>
                <w:szCs w:val="21"/>
                <w:highlight w:val="none"/>
              </w:rPr>
            </w:pPr>
            <w:r>
              <w:rPr>
                <w:rFonts w:hint="eastAsia" w:ascii="宋体" w:hAnsi="宋体" w:cs="仿宋_GB2312"/>
                <w:color w:val="000000"/>
                <w:sz w:val="18"/>
                <w:szCs w:val="18"/>
                <w:highlight w:val="none"/>
              </w:rPr>
              <w:t>出口零星地块</w:t>
            </w:r>
          </w:p>
        </w:tc>
        <w:tc>
          <w:tcPr>
            <w:tcW w:w="1276" w:type="dxa"/>
            <w:noWrap w:val="0"/>
            <w:vAlign w:val="center"/>
          </w:tcPr>
          <w:p w14:paraId="61F7E562">
            <w:pPr>
              <w:ind w:right="-483" w:rightChars="-230"/>
              <w:rPr>
                <w:rFonts w:hint="eastAsia" w:ascii="宋体" w:hAnsi="宋体" w:cs="仿宋_GB2312"/>
                <w:b/>
                <w:color w:val="000000"/>
                <w:szCs w:val="21"/>
                <w:highlight w:val="none"/>
              </w:rPr>
            </w:pPr>
            <w:r>
              <w:rPr>
                <w:rFonts w:hint="eastAsia" w:ascii="宋体" w:hAnsi="宋体" w:cs="仿宋_GB2312"/>
                <w:b/>
                <w:color w:val="000000"/>
                <w:szCs w:val="21"/>
                <w:highlight w:val="none"/>
              </w:rPr>
              <w:t>488.70</w:t>
            </w:r>
          </w:p>
        </w:tc>
        <w:tc>
          <w:tcPr>
            <w:tcW w:w="2126" w:type="dxa"/>
            <w:noWrap w:val="0"/>
            <w:vAlign w:val="center"/>
          </w:tcPr>
          <w:p w14:paraId="08211F40">
            <w:pPr>
              <w:ind w:right="-483" w:rightChars="-230" w:firstLine="738" w:firstLineChars="350"/>
              <w:rPr>
                <w:rFonts w:hint="eastAsia" w:ascii="宋体" w:hAnsi="宋体" w:cs="仿宋_GB2312"/>
                <w:b/>
                <w:color w:val="000000"/>
                <w:szCs w:val="21"/>
                <w:highlight w:val="none"/>
              </w:rPr>
            </w:pPr>
            <w:r>
              <w:rPr>
                <w:rFonts w:hint="eastAsia" w:ascii="宋体" w:hAnsi="宋体" w:cs="仿宋_GB2312"/>
                <w:b/>
                <w:color w:val="000000"/>
                <w:szCs w:val="21"/>
                <w:highlight w:val="none"/>
              </w:rPr>
              <w:t>260.86</w:t>
            </w:r>
          </w:p>
        </w:tc>
        <w:tc>
          <w:tcPr>
            <w:tcW w:w="2268" w:type="dxa"/>
            <w:noWrap w:val="0"/>
            <w:vAlign w:val="center"/>
          </w:tcPr>
          <w:p w14:paraId="598908C9">
            <w:pPr>
              <w:ind w:right="-483" w:rightChars="-230" w:firstLine="738" w:firstLineChars="350"/>
              <w:rPr>
                <w:rFonts w:hint="eastAsia" w:ascii="宋体" w:hAnsi="宋体" w:cs="仿宋_GB2312"/>
                <w:b/>
                <w:color w:val="000000"/>
                <w:szCs w:val="21"/>
                <w:highlight w:val="none"/>
              </w:rPr>
            </w:pPr>
            <w:r>
              <w:rPr>
                <w:rFonts w:hint="eastAsia" w:ascii="宋体" w:hAnsi="宋体" w:cs="仿宋_GB2312"/>
                <w:b/>
                <w:color w:val="000000"/>
                <w:szCs w:val="21"/>
                <w:highlight w:val="none"/>
              </w:rPr>
              <w:t>227.84</w:t>
            </w:r>
          </w:p>
        </w:tc>
        <w:tc>
          <w:tcPr>
            <w:tcW w:w="1296" w:type="dxa"/>
            <w:noWrap w:val="0"/>
            <w:vAlign w:val="center"/>
          </w:tcPr>
          <w:p w14:paraId="41AAFD88">
            <w:pPr>
              <w:ind w:right="-483" w:rightChars="-230" w:firstLine="422" w:firstLineChars="200"/>
              <w:rPr>
                <w:rFonts w:ascii="宋体" w:hAnsi="宋体" w:cs="仿宋_GB2312"/>
                <w:b/>
                <w:color w:val="000000"/>
                <w:szCs w:val="21"/>
                <w:highlight w:val="none"/>
              </w:rPr>
            </w:pPr>
          </w:p>
        </w:tc>
      </w:tr>
    </w:tbl>
    <w:p w14:paraId="69A2A0BF">
      <w:pPr>
        <w:ind w:firstLine="360" w:firstLineChars="200"/>
        <w:rPr>
          <w:rFonts w:hint="eastAsia" w:ascii="宋体" w:hAnsi="宋体" w:eastAsia="宋体" w:cs="宋体"/>
          <w:color w:val="000000"/>
          <w:kern w:val="0"/>
          <w:sz w:val="18"/>
          <w:szCs w:val="18"/>
          <w:highlight w:val="none"/>
        </w:rPr>
      </w:pPr>
      <w:r>
        <w:rPr>
          <w:rFonts w:hint="eastAsia" w:ascii="宋体" w:hAnsi="宋体" w:eastAsia="宋体" w:cs="宋体"/>
          <w:color w:val="000000"/>
          <w:kern w:val="0"/>
          <w:sz w:val="18"/>
          <w:szCs w:val="18"/>
          <w:highlight w:val="none"/>
        </w:rPr>
        <w:t>注：最终面积以实际交付为准（双方有异议时，以异议方委托的、双方均认可的具有相关资质的第三方测绘单位实测数据为准），地块计租面积误差在正负5%以内，租金不予调整；地块计租面积增减5%以上的，以实际面积计租</w:t>
      </w:r>
      <w:r>
        <w:rPr>
          <w:rFonts w:hint="eastAsia" w:ascii="宋体" w:hAnsi="宋体" w:eastAsia="宋体" w:cs="宋体"/>
          <w:color w:val="000000"/>
          <w:sz w:val="18"/>
          <w:szCs w:val="18"/>
          <w:highlight w:val="none"/>
        </w:rPr>
        <w:t>。</w:t>
      </w:r>
    </w:p>
    <w:p w14:paraId="4D4E1568">
      <w:pPr>
        <w:pStyle w:val="2"/>
        <w:ind w:left="0" w:leftChars="0" w:firstLine="640"/>
        <w:outlineLvl w:val="0"/>
        <w:rPr>
          <w:rFonts w:hint="eastAsia" w:ascii="黑体" w:hAnsi="黑体" w:eastAsia="黑体" w:cs="仿宋_GB2312"/>
          <w:bCs/>
          <w:color w:val="000000"/>
          <w:kern w:val="0"/>
          <w:sz w:val="32"/>
          <w:szCs w:val="32"/>
          <w:highlight w:val="none"/>
        </w:rPr>
      </w:pPr>
    </w:p>
    <w:p w14:paraId="40922296">
      <w:pPr>
        <w:adjustRightInd w:val="0"/>
        <w:ind w:right="42" w:rightChars="20"/>
        <w:jc w:val="center"/>
        <w:outlineLvl w:val="1"/>
        <w:rPr>
          <w:rFonts w:hint="eastAsia" w:ascii="仿宋_GB2312" w:hAnsi="仿宋_GB2312" w:eastAsia="仿宋_GB2312" w:cs="仿宋_GB2312"/>
          <w:b/>
          <w:bCs/>
          <w:color w:val="000000"/>
          <w:sz w:val="28"/>
          <w:szCs w:val="28"/>
          <w:highlight w:val="none"/>
        </w:rPr>
      </w:pPr>
      <w:r>
        <w:rPr>
          <w:rFonts w:hint="eastAsia" w:ascii="仿宋_GB2312" w:hAnsi="仿宋_GB2312" w:eastAsia="仿宋_GB2312" w:cs="仿宋_GB2312"/>
          <w:b/>
          <w:bCs/>
          <w:color w:val="000000"/>
          <w:sz w:val="28"/>
          <w:szCs w:val="28"/>
          <w:highlight w:val="none"/>
        </w:rPr>
        <w:t>租金及其确定依据</w:t>
      </w:r>
    </w:p>
    <w:p w14:paraId="316E5373">
      <w:pPr>
        <w:ind w:firstLine="360" w:firstLineChars="200"/>
        <w:rPr>
          <w:rFonts w:hint="eastAsia" w:ascii="宋体" w:hAnsi="宋体" w:eastAsia="宋体" w:cs="宋体"/>
          <w:color w:val="000000"/>
          <w:kern w:val="0"/>
          <w:sz w:val="18"/>
          <w:szCs w:val="18"/>
          <w:highlight w:val="none"/>
        </w:rPr>
      </w:pPr>
      <w:r>
        <w:rPr>
          <w:rFonts w:hint="eastAsia" w:ascii="宋体" w:hAnsi="宋体" w:eastAsia="宋体" w:cs="宋体"/>
          <w:color w:val="000000"/>
          <w:kern w:val="0"/>
          <w:sz w:val="18"/>
          <w:szCs w:val="18"/>
          <w:highlight w:val="none"/>
        </w:rPr>
        <w:t>（一）招租底价：首年租金单价为84元/㎡，</w:t>
      </w:r>
      <w:bookmarkStart w:id="0" w:name="OLE_LINK8"/>
      <w:r>
        <w:rPr>
          <w:rFonts w:hint="eastAsia" w:ascii="宋体" w:hAnsi="宋体" w:eastAsia="宋体" w:cs="宋体"/>
          <w:color w:val="000000"/>
          <w:kern w:val="0"/>
          <w:sz w:val="18"/>
          <w:szCs w:val="18"/>
          <w:highlight w:val="none"/>
        </w:rPr>
        <w:t>5年租金：人民币113584.89元</w:t>
      </w:r>
      <w:bookmarkEnd w:id="0"/>
      <w:r>
        <w:rPr>
          <w:rFonts w:hint="eastAsia" w:ascii="宋体" w:hAnsi="宋体" w:eastAsia="宋体" w:cs="宋体"/>
          <w:color w:val="000000"/>
          <w:kern w:val="0"/>
          <w:sz w:val="18"/>
          <w:szCs w:val="18"/>
          <w:highlight w:val="none"/>
        </w:rPr>
        <w:t>（大写：壹拾壹万叁仟伍佰捌拾肆元捌角玖分），具体见下表：</w:t>
      </w:r>
    </w:p>
    <w:tbl>
      <w:tblPr>
        <w:tblStyle w:val="5"/>
        <w:tblpPr w:leftFromText="180" w:rightFromText="180" w:vertAnchor="text" w:horzAnchor="margin" w:tblpXSpec="center" w:tblpY="510"/>
        <w:tblOverlap w:val="never"/>
        <w:tblW w:w="9510" w:type="dxa"/>
        <w:tblInd w:w="0" w:type="dxa"/>
        <w:tblLayout w:type="fixed"/>
        <w:tblCellMar>
          <w:top w:w="0" w:type="dxa"/>
          <w:left w:w="108" w:type="dxa"/>
          <w:bottom w:w="0" w:type="dxa"/>
          <w:right w:w="108" w:type="dxa"/>
        </w:tblCellMar>
      </w:tblPr>
      <w:tblGrid>
        <w:gridCol w:w="546"/>
        <w:gridCol w:w="1268"/>
        <w:gridCol w:w="988"/>
        <w:gridCol w:w="884"/>
        <w:gridCol w:w="980"/>
        <w:gridCol w:w="994"/>
        <w:gridCol w:w="920"/>
        <w:gridCol w:w="1029"/>
        <w:gridCol w:w="924"/>
        <w:gridCol w:w="977"/>
      </w:tblGrid>
      <w:tr w14:paraId="3122FEFA">
        <w:tblPrEx>
          <w:tblCellMar>
            <w:top w:w="0" w:type="dxa"/>
            <w:left w:w="108" w:type="dxa"/>
            <w:bottom w:w="0" w:type="dxa"/>
            <w:right w:w="108" w:type="dxa"/>
          </w:tblCellMar>
        </w:tblPrEx>
        <w:trPr>
          <w:trHeight w:val="842" w:hRule="atLeast"/>
        </w:trPr>
        <w:tc>
          <w:tcPr>
            <w:tcW w:w="9510" w:type="dxa"/>
            <w:gridSpan w:val="10"/>
            <w:tcBorders>
              <w:top w:val="single" w:color="auto" w:sz="4" w:space="0"/>
              <w:left w:val="single" w:color="auto" w:sz="4" w:space="0"/>
              <w:bottom w:val="single" w:color="auto" w:sz="4" w:space="0"/>
              <w:right w:val="single" w:color="000000" w:sz="4" w:space="0"/>
            </w:tcBorders>
            <w:noWrap w:val="0"/>
            <w:vAlign w:val="center"/>
          </w:tcPr>
          <w:p w14:paraId="5F3AAF14">
            <w:pPr>
              <w:widowControl/>
              <w:jc w:val="center"/>
              <w:rPr>
                <w:rFonts w:ascii="方正小标宋简体" w:hAnsi="宋体" w:eastAsia="方正小标宋简体" w:cs="宋体"/>
                <w:b/>
                <w:bCs/>
                <w:color w:val="000000"/>
                <w:kern w:val="0"/>
                <w:sz w:val="18"/>
                <w:szCs w:val="18"/>
                <w:highlight w:val="none"/>
              </w:rPr>
            </w:pPr>
            <w:r>
              <w:rPr>
                <w:rFonts w:hint="eastAsia" w:ascii="方正小标宋简体" w:hAnsi="宋体" w:eastAsia="方正小标宋简体" w:cs="宋体"/>
                <w:b/>
                <w:bCs/>
                <w:color w:val="000000"/>
                <w:kern w:val="0"/>
                <w:sz w:val="18"/>
                <w:szCs w:val="18"/>
                <w:highlight w:val="none"/>
              </w:rPr>
              <w:t>租赁地块年度租金汇总表</w:t>
            </w:r>
          </w:p>
        </w:tc>
      </w:tr>
      <w:tr w14:paraId="2F5B88A1">
        <w:tblPrEx>
          <w:tblCellMar>
            <w:top w:w="0" w:type="dxa"/>
            <w:left w:w="108" w:type="dxa"/>
            <w:bottom w:w="0" w:type="dxa"/>
            <w:right w:w="108" w:type="dxa"/>
          </w:tblCellMar>
        </w:tblPrEx>
        <w:trPr>
          <w:trHeight w:val="437" w:hRule="atLeast"/>
        </w:trPr>
        <w:tc>
          <w:tcPr>
            <w:tcW w:w="546" w:type="dxa"/>
            <w:vMerge w:val="restart"/>
            <w:tcBorders>
              <w:top w:val="nil"/>
              <w:left w:val="single" w:color="auto" w:sz="4" w:space="0"/>
              <w:bottom w:val="single" w:color="auto" w:sz="4" w:space="0"/>
              <w:right w:val="single" w:color="auto" w:sz="4" w:space="0"/>
            </w:tcBorders>
            <w:noWrap w:val="0"/>
            <w:vAlign w:val="center"/>
          </w:tcPr>
          <w:p w14:paraId="1040299A">
            <w:pPr>
              <w:widowControl/>
              <w:jc w:val="center"/>
              <w:rPr>
                <w:rFonts w:hint="eastAsia" w:ascii="仿宋_GB2312" w:hAnsi="仿宋_GB2312" w:eastAsia="仿宋_GB2312" w:cs="仿宋_GB2312"/>
                <w:color w:val="000000"/>
                <w:kern w:val="0"/>
                <w:sz w:val="18"/>
                <w:szCs w:val="18"/>
                <w:highlight w:val="none"/>
              </w:rPr>
            </w:pPr>
            <w:r>
              <w:rPr>
                <w:rFonts w:hint="eastAsia" w:ascii="仿宋_GB2312" w:hAnsi="仿宋_GB2312" w:eastAsia="仿宋_GB2312" w:cs="仿宋_GB2312"/>
                <w:color w:val="000000"/>
                <w:kern w:val="0"/>
                <w:sz w:val="18"/>
                <w:szCs w:val="18"/>
                <w:highlight w:val="none"/>
              </w:rPr>
              <w:t>序号</w:t>
            </w:r>
          </w:p>
        </w:tc>
        <w:tc>
          <w:tcPr>
            <w:tcW w:w="1268" w:type="dxa"/>
            <w:vMerge w:val="restart"/>
            <w:tcBorders>
              <w:top w:val="nil"/>
              <w:left w:val="single" w:color="auto" w:sz="4" w:space="0"/>
              <w:bottom w:val="single" w:color="auto" w:sz="4" w:space="0"/>
              <w:right w:val="single" w:color="auto" w:sz="4" w:space="0"/>
            </w:tcBorders>
            <w:noWrap w:val="0"/>
            <w:vAlign w:val="center"/>
          </w:tcPr>
          <w:p w14:paraId="7D4B3B68">
            <w:pPr>
              <w:widowControl/>
              <w:jc w:val="center"/>
              <w:rPr>
                <w:rFonts w:hint="eastAsia" w:ascii="仿宋_GB2312" w:hAnsi="仿宋_GB2312" w:eastAsia="仿宋_GB2312" w:cs="仿宋_GB2312"/>
                <w:color w:val="000000"/>
                <w:kern w:val="0"/>
                <w:sz w:val="18"/>
                <w:szCs w:val="18"/>
                <w:highlight w:val="none"/>
              </w:rPr>
            </w:pPr>
            <w:r>
              <w:rPr>
                <w:rFonts w:hint="eastAsia" w:ascii="仿宋_GB2312" w:hAnsi="仿宋_GB2312" w:eastAsia="仿宋_GB2312" w:cs="仿宋_GB2312"/>
                <w:color w:val="000000"/>
                <w:kern w:val="0"/>
                <w:sz w:val="18"/>
                <w:szCs w:val="18"/>
                <w:highlight w:val="none"/>
              </w:rPr>
              <w:t>地块名称</w:t>
            </w:r>
          </w:p>
        </w:tc>
        <w:tc>
          <w:tcPr>
            <w:tcW w:w="988" w:type="dxa"/>
            <w:vMerge w:val="restart"/>
            <w:tcBorders>
              <w:top w:val="nil"/>
              <w:left w:val="single" w:color="auto" w:sz="4" w:space="0"/>
              <w:bottom w:val="single" w:color="auto" w:sz="4" w:space="0"/>
              <w:right w:val="single" w:color="auto" w:sz="4" w:space="0"/>
            </w:tcBorders>
            <w:noWrap w:val="0"/>
            <w:vAlign w:val="center"/>
          </w:tcPr>
          <w:p w14:paraId="7A0AE9CC">
            <w:pPr>
              <w:widowControl/>
              <w:jc w:val="center"/>
              <w:rPr>
                <w:rFonts w:hint="eastAsia" w:ascii="仿宋_GB2312" w:hAnsi="仿宋_GB2312" w:eastAsia="仿宋_GB2312" w:cs="仿宋_GB2312"/>
                <w:color w:val="000000"/>
                <w:kern w:val="0"/>
                <w:sz w:val="18"/>
                <w:szCs w:val="18"/>
                <w:highlight w:val="none"/>
              </w:rPr>
            </w:pPr>
            <w:r>
              <w:rPr>
                <w:rFonts w:hint="eastAsia" w:ascii="仿宋_GB2312" w:hAnsi="仿宋_GB2312" w:eastAsia="仿宋_GB2312" w:cs="仿宋_GB2312"/>
                <w:color w:val="000000"/>
                <w:kern w:val="0"/>
                <w:sz w:val="18"/>
                <w:szCs w:val="18"/>
                <w:highlight w:val="none"/>
              </w:rPr>
              <w:t>可利用面积（㎡）</w:t>
            </w:r>
          </w:p>
        </w:tc>
        <w:tc>
          <w:tcPr>
            <w:tcW w:w="884" w:type="dxa"/>
            <w:vMerge w:val="restart"/>
            <w:tcBorders>
              <w:top w:val="nil"/>
              <w:left w:val="single" w:color="auto" w:sz="4" w:space="0"/>
              <w:bottom w:val="single" w:color="auto" w:sz="4" w:space="0"/>
              <w:right w:val="single" w:color="auto" w:sz="4" w:space="0"/>
            </w:tcBorders>
            <w:noWrap w:val="0"/>
            <w:vAlign w:val="center"/>
          </w:tcPr>
          <w:p w14:paraId="4FBB765F">
            <w:pPr>
              <w:widowControl/>
              <w:jc w:val="center"/>
              <w:rPr>
                <w:rFonts w:hint="eastAsia" w:ascii="仿宋_GB2312" w:hAnsi="仿宋_GB2312" w:eastAsia="仿宋_GB2312" w:cs="仿宋_GB2312"/>
                <w:color w:val="000000"/>
                <w:kern w:val="0"/>
                <w:sz w:val="18"/>
                <w:szCs w:val="18"/>
                <w:highlight w:val="none"/>
                <w:lang w:eastAsia="zh-CN"/>
              </w:rPr>
            </w:pPr>
            <w:r>
              <w:rPr>
                <w:rFonts w:hint="eastAsia" w:ascii="仿宋_GB2312" w:hAnsi="仿宋_GB2312" w:eastAsia="仿宋_GB2312" w:cs="仿宋_GB2312"/>
                <w:color w:val="000000"/>
                <w:kern w:val="0"/>
                <w:sz w:val="18"/>
                <w:szCs w:val="18"/>
                <w:highlight w:val="none"/>
              </w:rPr>
              <w:t>单价</w:t>
            </w:r>
          </w:p>
          <w:p w14:paraId="0E76C531">
            <w:pPr>
              <w:pStyle w:val="2"/>
              <w:rPr>
                <w:rFonts w:hint="default" w:ascii="Calibri" w:hAnsi="Calibri" w:eastAsia="宋体" w:cs="Times New Roman"/>
                <w:kern w:val="2"/>
                <w:sz w:val="18"/>
                <w:szCs w:val="18"/>
                <w:lang w:eastAsia="zh-CN"/>
              </w:rPr>
            </w:pPr>
          </w:p>
          <w:p w14:paraId="21EC04C5">
            <w:pPr>
              <w:widowControl/>
              <w:jc w:val="center"/>
              <w:rPr>
                <w:rFonts w:hint="eastAsia" w:ascii="仿宋_GB2312" w:hAnsi="仿宋_GB2312" w:eastAsia="仿宋_GB2312" w:cs="仿宋_GB2312"/>
                <w:color w:val="000000"/>
                <w:kern w:val="0"/>
                <w:sz w:val="18"/>
                <w:szCs w:val="18"/>
                <w:highlight w:val="none"/>
              </w:rPr>
            </w:pPr>
            <w:r>
              <w:rPr>
                <w:rFonts w:hint="eastAsia" w:ascii="仿宋_GB2312" w:hAnsi="仿宋_GB2312" w:eastAsia="仿宋_GB2312" w:cs="仿宋_GB2312"/>
                <w:color w:val="000000"/>
                <w:kern w:val="0"/>
                <w:sz w:val="18"/>
                <w:szCs w:val="18"/>
                <w:highlight w:val="none"/>
              </w:rPr>
              <w:t>（元/月/㎡）</w:t>
            </w:r>
          </w:p>
        </w:tc>
        <w:tc>
          <w:tcPr>
            <w:tcW w:w="980" w:type="dxa"/>
            <w:vMerge w:val="restart"/>
            <w:tcBorders>
              <w:top w:val="nil"/>
              <w:left w:val="single" w:color="auto" w:sz="4" w:space="0"/>
              <w:bottom w:val="single" w:color="auto" w:sz="4" w:space="0"/>
              <w:right w:val="single" w:color="auto" w:sz="4" w:space="0"/>
            </w:tcBorders>
            <w:noWrap w:val="0"/>
            <w:vAlign w:val="center"/>
          </w:tcPr>
          <w:p w14:paraId="5F1C564C">
            <w:pPr>
              <w:widowControl/>
              <w:jc w:val="center"/>
              <w:rPr>
                <w:rFonts w:hint="eastAsia" w:ascii="仿宋_GB2312" w:hAnsi="仿宋_GB2312" w:eastAsia="仿宋_GB2312" w:cs="仿宋_GB2312"/>
                <w:color w:val="000000"/>
                <w:kern w:val="0"/>
                <w:sz w:val="18"/>
                <w:szCs w:val="18"/>
                <w:highlight w:val="none"/>
              </w:rPr>
            </w:pPr>
            <w:r>
              <w:rPr>
                <w:rFonts w:hint="eastAsia" w:ascii="仿宋_GB2312" w:hAnsi="仿宋_GB2312" w:eastAsia="仿宋_GB2312" w:cs="仿宋_GB2312"/>
                <w:color w:val="000000"/>
                <w:kern w:val="0"/>
                <w:sz w:val="18"/>
                <w:szCs w:val="18"/>
                <w:highlight w:val="none"/>
              </w:rPr>
              <w:t>5年租金</w:t>
            </w:r>
          </w:p>
        </w:tc>
        <w:tc>
          <w:tcPr>
            <w:tcW w:w="994" w:type="dxa"/>
            <w:vMerge w:val="restart"/>
            <w:tcBorders>
              <w:top w:val="nil"/>
              <w:left w:val="single" w:color="auto" w:sz="4" w:space="0"/>
              <w:bottom w:val="single" w:color="auto" w:sz="4" w:space="0"/>
              <w:right w:val="single" w:color="auto" w:sz="4" w:space="0"/>
            </w:tcBorders>
            <w:noWrap w:val="0"/>
            <w:vAlign w:val="center"/>
          </w:tcPr>
          <w:p w14:paraId="32E9D93B">
            <w:pPr>
              <w:widowControl/>
              <w:jc w:val="center"/>
              <w:rPr>
                <w:rFonts w:hint="eastAsia" w:ascii="仿宋_GB2312" w:hAnsi="仿宋_GB2312" w:eastAsia="仿宋_GB2312" w:cs="仿宋_GB2312"/>
                <w:color w:val="000000"/>
                <w:kern w:val="0"/>
                <w:sz w:val="18"/>
                <w:szCs w:val="18"/>
                <w:highlight w:val="none"/>
              </w:rPr>
            </w:pPr>
            <w:r>
              <w:rPr>
                <w:rFonts w:hint="eastAsia" w:ascii="仿宋_GB2312" w:hAnsi="仿宋_GB2312" w:eastAsia="仿宋_GB2312" w:cs="仿宋_GB2312"/>
                <w:color w:val="000000"/>
                <w:kern w:val="0"/>
                <w:sz w:val="18"/>
                <w:szCs w:val="18"/>
                <w:highlight w:val="none"/>
              </w:rPr>
              <w:t>第1年</w:t>
            </w:r>
          </w:p>
        </w:tc>
        <w:tc>
          <w:tcPr>
            <w:tcW w:w="920" w:type="dxa"/>
            <w:vMerge w:val="restart"/>
            <w:tcBorders>
              <w:top w:val="nil"/>
              <w:left w:val="single" w:color="auto" w:sz="4" w:space="0"/>
              <w:bottom w:val="single" w:color="auto" w:sz="4" w:space="0"/>
              <w:right w:val="single" w:color="auto" w:sz="4" w:space="0"/>
            </w:tcBorders>
            <w:noWrap w:val="0"/>
            <w:vAlign w:val="center"/>
          </w:tcPr>
          <w:p w14:paraId="53C39155">
            <w:pPr>
              <w:widowControl/>
              <w:jc w:val="center"/>
              <w:rPr>
                <w:rFonts w:hint="eastAsia" w:ascii="仿宋_GB2312" w:hAnsi="仿宋_GB2312" w:eastAsia="仿宋_GB2312" w:cs="仿宋_GB2312"/>
                <w:color w:val="000000"/>
                <w:kern w:val="0"/>
                <w:sz w:val="18"/>
                <w:szCs w:val="18"/>
                <w:highlight w:val="none"/>
              </w:rPr>
            </w:pPr>
            <w:r>
              <w:rPr>
                <w:rFonts w:hint="eastAsia" w:ascii="仿宋_GB2312" w:hAnsi="仿宋_GB2312" w:eastAsia="仿宋_GB2312" w:cs="仿宋_GB2312"/>
                <w:color w:val="000000"/>
                <w:kern w:val="0"/>
                <w:sz w:val="18"/>
                <w:szCs w:val="18"/>
                <w:highlight w:val="none"/>
              </w:rPr>
              <w:t>第2年</w:t>
            </w:r>
          </w:p>
        </w:tc>
        <w:tc>
          <w:tcPr>
            <w:tcW w:w="1029" w:type="dxa"/>
            <w:tcBorders>
              <w:top w:val="nil"/>
              <w:left w:val="nil"/>
              <w:bottom w:val="single" w:color="auto" w:sz="4" w:space="0"/>
              <w:right w:val="single" w:color="auto" w:sz="4" w:space="0"/>
            </w:tcBorders>
            <w:noWrap w:val="0"/>
            <w:vAlign w:val="center"/>
          </w:tcPr>
          <w:p w14:paraId="1DB9066A">
            <w:pPr>
              <w:widowControl/>
              <w:jc w:val="center"/>
              <w:rPr>
                <w:rFonts w:hint="eastAsia" w:ascii="仿宋_GB2312" w:hAnsi="仿宋_GB2312" w:eastAsia="仿宋_GB2312" w:cs="仿宋_GB2312"/>
                <w:color w:val="000000"/>
                <w:kern w:val="0"/>
                <w:sz w:val="18"/>
                <w:szCs w:val="18"/>
                <w:highlight w:val="none"/>
              </w:rPr>
            </w:pPr>
            <w:r>
              <w:rPr>
                <w:rFonts w:hint="eastAsia" w:ascii="仿宋_GB2312" w:hAnsi="仿宋_GB2312" w:eastAsia="仿宋_GB2312" w:cs="仿宋_GB2312"/>
                <w:color w:val="000000"/>
                <w:kern w:val="0"/>
                <w:sz w:val="18"/>
                <w:szCs w:val="18"/>
                <w:highlight w:val="none"/>
              </w:rPr>
              <w:t>第3年</w:t>
            </w:r>
          </w:p>
        </w:tc>
        <w:tc>
          <w:tcPr>
            <w:tcW w:w="924" w:type="dxa"/>
            <w:tcBorders>
              <w:top w:val="nil"/>
              <w:left w:val="nil"/>
              <w:bottom w:val="single" w:color="auto" w:sz="4" w:space="0"/>
              <w:right w:val="single" w:color="auto" w:sz="4" w:space="0"/>
            </w:tcBorders>
            <w:noWrap w:val="0"/>
            <w:vAlign w:val="center"/>
          </w:tcPr>
          <w:p w14:paraId="14F50F8A">
            <w:pPr>
              <w:widowControl/>
              <w:jc w:val="center"/>
              <w:rPr>
                <w:rFonts w:hint="eastAsia" w:ascii="仿宋_GB2312" w:hAnsi="仿宋_GB2312" w:eastAsia="仿宋_GB2312" w:cs="仿宋_GB2312"/>
                <w:color w:val="000000"/>
                <w:kern w:val="0"/>
                <w:sz w:val="18"/>
                <w:szCs w:val="18"/>
                <w:highlight w:val="none"/>
              </w:rPr>
            </w:pPr>
            <w:r>
              <w:rPr>
                <w:rFonts w:hint="eastAsia" w:ascii="仿宋_GB2312" w:hAnsi="仿宋_GB2312" w:eastAsia="仿宋_GB2312" w:cs="仿宋_GB2312"/>
                <w:color w:val="000000"/>
                <w:kern w:val="0"/>
                <w:sz w:val="18"/>
                <w:szCs w:val="18"/>
                <w:highlight w:val="none"/>
              </w:rPr>
              <w:t>第4年</w:t>
            </w:r>
          </w:p>
        </w:tc>
        <w:tc>
          <w:tcPr>
            <w:tcW w:w="977" w:type="dxa"/>
            <w:tcBorders>
              <w:top w:val="nil"/>
              <w:left w:val="nil"/>
              <w:bottom w:val="single" w:color="auto" w:sz="4" w:space="0"/>
              <w:right w:val="single" w:color="auto" w:sz="4" w:space="0"/>
            </w:tcBorders>
            <w:noWrap w:val="0"/>
            <w:vAlign w:val="center"/>
          </w:tcPr>
          <w:p w14:paraId="6133C29C">
            <w:pPr>
              <w:widowControl/>
              <w:jc w:val="center"/>
              <w:rPr>
                <w:rFonts w:hint="eastAsia" w:ascii="仿宋_GB2312" w:hAnsi="仿宋_GB2312" w:eastAsia="仿宋_GB2312" w:cs="仿宋_GB2312"/>
                <w:color w:val="000000"/>
                <w:kern w:val="0"/>
                <w:sz w:val="18"/>
                <w:szCs w:val="18"/>
                <w:highlight w:val="none"/>
              </w:rPr>
            </w:pPr>
            <w:r>
              <w:rPr>
                <w:rFonts w:hint="eastAsia" w:ascii="仿宋_GB2312" w:hAnsi="仿宋_GB2312" w:eastAsia="仿宋_GB2312" w:cs="仿宋_GB2312"/>
                <w:color w:val="000000"/>
                <w:kern w:val="0"/>
                <w:sz w:val="18"/>
                <w:szCs w:val="18"/>
                <w:highlight w:val="none"/>
              </w:rPr>
              <w:t>第5年</w:t>
            </w:r>
          </w:p>
        </w:tc>
      </w:tr>
      <w:tr w14:paraId="08F6AD2F">
        <w:tblPrEx>
          <w:tblCellMar>
            <w:top w:w="0" w:type="dxa"/>
            <w:left w:w="108" w:type="dxa"/>
            <w:bottom w:w="0" w:type="dxa"/>
            <w:right w:w="108" w:type="dxa"/>
          </w:tblCellMar>
        </w:tblPrEx>
        <w:trPr>
          <w:trHeight w:val="1017" w:hRule="atLeast"/>
        </w:trPr>
        <w:tc>
          <w:tcPr>
            <w:tcW w:w="546" w:type="dxa"/>
            <w:vMerge w:val="continue"/>
            <w:tcBorders>
              <w:top w:val="nil"/>
              <w:left w:val="single" w:color="auto" w:sz="4" w:space="0"/>
              <w:bottom w:val="single" w:color="auto" w:sz="4" w:space="0"/>
              <w:right w:val="single" w:color="auto" w:sz="4" w:space="0"/>
            </w:tcBorders>
            <w:noWrap w:val="0"/>
            <w:vAlign w:val="center"/>
          </w:tcPr>
          <w:p w14:paraId="067DA9C8">
            <w:pPr>
              <w:widowControl/>
              <w:jc w:val="left"/>
              <w:rPr>
                <w:rFonts w:hint="eastAsia" w:ascii="仿宋_GB2312" w:hAnsi="仿宋_GB2312" w:eastAsia="仿宋_GB2312" w:cs="仿宋_GB2312"/>
                <w:color w:val="000000"/>
                <w:kern w:val="0"/>
                <w:sz w:val="18"/>
                <w:szCs w:val="18"/>
                <w:highlight w:val="none"/>
              </w:rPr>
            </w:pPr>
          </w:p>
        </w:tc>
        <w:tc>
          <w:tcPr>
            <w:tcW w:w="1268" w:type="dxa"/>
            <w:vMerge w:val="continue"/>
            <w:tcBorders>
              <w:top w:val="nil"/>
              <w:left w:val="single" w:color="auto" w:sz="4" w:space="0"/>
              <w:bottom w:val="single" w:color="auto" w:sz="4" w:space="0"/>
              <w:right w:val="single" w:color="auto" w:sz="4" w:space="0"/>
            </w:tcBorders>
            <w:noWrap w:val="0"/>
            <w:vAlign w:val="center"/>
          </w:tcPr>
          <w:p w14:paraId="13538721">
            <w:pPr>
              <w:widowControl/>
              <w:jc w:val="left"/>
              <w:rPr>
                <w:rFonts w:hint="eastAsia" w:ascii="仿宋_GB2312" w:hAnsi="仿宋_GB2312" w:eastAsia="仿宋_GB2312" w:cs="仿宋_GB2312"/>
                <w:color w:val="000000"/>
                <w:kern w:val="0"/>
                <w:sz w:val="18"/>
                <w:szCs w:val="18"/>
                <w:highlight w:val="none"/>
              </w:rPr>
            </w:pPr>
          </w:p>
        </w:tc>
        <w:tc>
          <w:tcPr>
            <w:tcW w:w="988" w:type="dxa"/>
            <w:vMerge w:val="continue"/>
            <w:tcBorders>
              <w:top w:val="nil"/>
              <w:left w:val="single" w:color="auto" w:sz="4" w:space="0"/>
              <w:bottom w:val="single" w:color="auto" w:sz="4" w:space="0"/>
              <w:right w:val="single" w:color="auto" w:sz="4" w:space="0"/>
            </w:tcBorders>
            <w:noWrap w:val="0"/>
            <w:vAlign w:val="center"/>
          </w:tcPr>
          <w:p w14:paraId="43892278">
            <w:pPr>
              <w:widowControl/>
              <w:jc w:val="left"/>
              <w:rPr>
                <w:rFonts w:hint="eastAsia" w:ascii="仿宋_GB2312" w:hAnsi="仿宋_GB2312" w:eastAsia="仿宋_GB2312" w:cs="仿宋_GB2312"/>
                <w:color w:val="000000"/>
                <w:kern w:val="0"/>
                <w:sz w:val="18"/>
                <w:szCs w:val="18"/>
                <w:highlight w:val="none"/>
              </w:rPr>
            </w:pPr>
          </w:p>
        </w:tc>
        <w:tc>
          <w:tcPr>
            <w:tcW w:w="884" w:type="dxa"/>
            <w:vMerge w:val="continue"/>
            <w:tcBorders>
              <w:top w:val="nil"/>
              <w:left w:val="single" w:color="auto" w:sz="4" w:space="0"/>
              <w:bottom w:val="single" w:color="auto" w:sz="4" w:space="0"/>
              <w:right w:val="single" w:color="auto" w:sz="4" w:space="0"/>
            </w:tcBorders>
            <w:noWrap w:val="0"/>
            <w:vAlign w:val="center"/>
          </w:tcPr>
          <w:p w14:paraId="69C90FCE">
            <w:pPr>
              <w:widowControl/>
              <w:jc w:val="left"/>
              <w:rPr>
                <w:rFonts w:hint="eastAsia" w:ascii="仿宋_GB2312" w:hAnsi="仿宋_GB2312" w:eastAsia="仿宋_GB2312" w:cs="仿宋_GB2312"/>
                <w:color w:val="000000"/>
                <w:kern w:val="0"/>
                <w:sz w:val="18"/>
                <w:szCs w:val="18"/>
                <w:highlight w:val="none"/>
              </w:rPr>
            </w:pPr>
          </w:p>
        </w:tc>
        <w:tc>
          <w:tcPr>
            <w:tcW w:w="980" w:type="dxa"/>
            <w:vMerge w:val="continue"/>
            <w:tcBorders>
              <w:top w:val="nil"/>
              <w:left w:val="single" w:color="auto" w:sz="4" w:space="0"/>
              <w:bottom w:val="single" w:color="auto" w:sz="4" w:space="0"/>
              <w:right w:val="single" w:color="auto" w:sz="4" w:space="0"/>
            </w:tcBorders>
            <w:noWrap w:val="0"/>
            <w:vAlign w:val="center"/>
          </w:tcPr>
          <w:p w14:paraId="734723D1">
            <w:pPr>
              <w:widowControl/>
              <w:jc w:val="left"/>
              <w:rPr>
                <w:rFonts w:hint="eastAsia" w:ascii="仿宋_GB2312" w:hAnsi="仿宋_GB2312" w:eastAsia="仿宋_GB2312" w:cs="仿宋_GB2312"/>
                <w:color w:val="000000"/>
                <w:kern w:val="0"/>
                <w:sz w:val="18"/>
                <w:szCs w:val="18"/>
                <w:highlight w:val="none"/>
              </w:rPr>
            </w:pPr>
          </w:p>
        </w:tc>
        <w:tc>
          <w:tcPr>
            <w:tcW w:w="994" w:type="dxa"/>
            <w:vMerge w:val="continue"/>
            <w:tcBorders>
              <w:top w:val="nil"/>
              <w:left w:val="single" w:color="auto" w:sz="4" w:space="0"/>
              <w:bottom w:val="single" w:color="auto" w:sz="4" w:space="0"/>
              <w:right w:val="single" w:color="auto" w:sz="4" w:space="0"/>
            </w:tcBorders>
            <w:noWrap w:val="0"/>
            <w:vAlign w:val="center"/>
          </w:tcPr>
          <w:p w14:paraId="1DFFFC2D">
            <w:pPr>
              <w:widowControl/>
              <w:jc w:val="left"/>
              <w:rPr>
                <w:rFonts w:hint="eastAsia" w:ascii="仿宋_GB2312" w:hAnsi="仿宋_GB2312" w:eastAsia="仿宋_GB2312" w:cs="仿宋_GB2312"/>
                <w:color w:val="000000"/>
                <w:kern w:val="0"/>
                <w:sz w:val="18"/>
                <w:szCs w:val="18"/>
                <w:highlight w:val="none"/>
              </w:rPr>
            </w:pPr>
          </w:p>
        </w:tc>
        <w:tc>
          <w:tcPr>
            <w:tcW w:w="920" w:type="dxa"/>
            <w:vMerge w:val="continue"/>
            <w:tcBorders>
              <w:top w:val="nil"/>
              <w:left w:val="single" w:color="auto" w:sz="4" w:space="0"/>
              <w:bottom w:val="single" w:color="auto" w:sz="4" w:space="0"/>
              <w:right w:val="single" w:color="auto" w:sz="4" w:space="0"/>
            </w:tcBorders>
            <w:noWrap w:val="0"/>
            <w:vAlign w:val="center"/>
          </w:tcPr>
          <w:p w14:paraId="7096FBD4">
            <w:pPr>
              <w:widowControl/>
              <w:jc w:val="left"/>
              <w:rPr>
                <w:rFonts w:hint="eastAsia" w:ascii="仿宋_GB2312" w:hAnsi="仿宋_GB2312" w:eastAsia="仿宋_GB2312" w:cs="仿宋_GB2312"/>
                <w:color w:val="000000"/>
                <w:kern w:val="0"/>
                <w:sz w:val="18"/>
                <w:szCs w:val="18"/>
                <w:highlight w:val="none"/>
              </w:rPr>
            </w:pPr>
          </w:p>
        </w:tc>
        <w:tc>
          <w:tcPr>
            <w:tcW w:w="1029" w:type="dxa"/>
            <w:tcBorders>
              <w:top w:val="nil"/>
              <w:left w:val="nil"/>
              <w:bottom w:val="single" w:color="auto" w:sz="4" w:space="0"/>
              <w:right w:val="single" w:color="auto" w:sz="4" w:space="0"/>
            </w:tcBorders>
            <w:noWrap w:val="0"/>
            <w:vAlign w:val="center"/>
          </w:tcPr>
          <w:p w14:paraId="36FEC6F5">
            <w:pPr>
              <w:widowControl/>
              <w:jc w:val="center"/>
              <w:rPr>
                <w:rFonts w:hint="eastAsia" w:ascii="仿宋_GB2312" w:hAnsi="仿宋_GB2312" w:eastAsia="仿宋_GB2312" w:cs="仿宋_GB2312"/>
                <w:color w:val="000000"/>
                <w:kern w:val="0"/>
                <w:sz w:val="18"/>
                <w:szCs w:val="18"/>
                <w:highlight w:val="none"/>
              </w:rPr>
            </w:pPr>
            <w:r>
              <w:rPr>
                <w:rFonts w:hint="eastAsia" w:ascii="仿宋_GB2312" w:hAnsi="仿宋_GB2312" w:eastAsia="仿宋_GB2312" w:cs="仿宋_GB2312"/>
                <w:color w:val="000000"/>
                <w:kern w:val="0"/>
                <w:sz w:val="18"/>
                <w:szCs w:val="18"/>
                <w:highlight w:val="none"/>
              </w:rPr>
              <w:t>（增长率3%)</w:t>
            </w:r>
          </w:p>
        </w:tc>
        <w:tc>
          <w:tcPr>
            <w:tcW w:w="924" w:type="dxa"/>
            <w:tcBorders>
              <w:top w:val="nil"/>
              <w:left w:val="nil"/>
              <w:bottom w:val="single" w:color="auto" w:sz="4" w:space="0"/>
              <w:right w:val="single" w:color="auto" w:sz="4" w:space="0"/>
            </w:tcBorders>
            <w:noWrap w:val="0"/>
            <w:vAlign w:val="center"/>
          </w:tcPr>
          <w:p w14:paraId="35EC7AAE">
            <w:pPr>
              <w:widowControl/>
              <w:jc w:val="center"/>
              <w:rPr>
                <w:rFonts w:hint="eastAsia" w:ascii="仿宋_GB2312" w:hAnsi="仿宋_GB2312" w:eastAsia="仿宋_GB2312" w:cs="仿宋_GB2312"/>
                <w:color w:val="000000"/>
                <w:kern w:val="0"/>
                <w:sz w:val="18"/>
                <w:szCs w:val="18"/>
                <w:highlight w:val="none"/>
              </w:rPr>
            </w:pPr>
            <w:r>
              <w:rPr>
                <w:rFonts w:hint="eastAsia" w:ascii="仿宋_GB2312" w:hAnsi="仿宋_GB2312" w:eastAsia="仿宋_GB2312" w:cs="仿宋_GB2312"/>
                <w:color w:val="000000"/>
                <w:kern w:val="0"/>
                <w:sz w:val="18"/>
                <w:szCs w:val="18"/>
                <w:highlight w:val="none"/>
              </w:rPr>
              <w:t>（增长率3%)</w:t>
            </w:r>
          </w:p>
        </w:tc>
        <w:tc>
          <w:tcPr>
            <w:tcW w:w="977" w:type="dxa"/>
            <w:tcBorders>
              <w:top w:val="nil"/>
              <w:left w:val="nil"/>
              <w:bottom w:val="single" w:color="auto" w:sz="4" w:space="0"/>
              <w:right w:val="single" w:color="auto" w:sz="4" w:space="0"/>
            </w:tcBorders>
            <w:noWrap w:val="0"/>
            <w:vAlign w:val="center"/>
          </w:tcPr>
          <w:p w14:paraId="4BDB7BD7">
            <w:pPr>
              <w:widowControl/>
              <w:jc w:val="center"/>
              <w:rPr>
                <w:rFonts w:hint="eastAsia" w:ascii="仿宋_GB2312" w:hAnsi="仿宋_GB2312" w:eastAsia="仿宋_GB2312" w:cs="仿宋_GB2312"/>
                <w:color w:val="000000"/>
                <w:kern w:val="0"/>
                <w:sz w:val="18"/>
                <w:szCs w:val="18"/>
                <w:highlight w:val="none"/>
              </w:rPr>
            </w:pPr>
            <w:r>
              <w:rPr>
                <w:rFonts w:hint="eastAsia" w:ascii="仿宋_GB2312" w:hAnsi="仿宋_GB2312" w:eastAsia="仿宋_GB2312" w:cs="仿宋_GB2312"/>
                <w:color w:val="000000"/>
                <w:kern w:val="0"/>
                <w:sz w:val="18"/>
                <w:szCs w:val="18"/>
                <w:highlight w:val="none"/>
              </w:rPr>
              <w:t>（增长率3%)</w:t>
            </w:r>
          </w:p>
        </w:tc>
      </w:tr>
      <w:tr w14:paraId="4E1FA90E">
        <w:tblPrEx>
          <w:tblCellMar>
            <w:top w:w="0" w:type="dxa"/>
            <w:left w:w="108" w:type="dxa"/>
            <w:bottom w:w="0" w:type="dxa"/>
            <w:right w:w="108" w:type="dxa"/>
          </w:tblCellMar>
        </w:tblPrEx>
        <w:trPr>
          <w:trHeight w:val="1350" w:hRule="atLeast"/>
        </w:trPr>
        <w:tc>
          <w:tcPr>
            <w:tcW w:w="546" w:type="dxa"/>
            <w:tcBorders>
              <w:top w:val="nil"/>
              <w:left w:val="single" w:color="auto" w:sz="4" w:space="0"/>
              <w:bottom w:val="single" w:color="auto" w:sz="4" w:space="0"/>
              <w:right w:val="single" w:color="auto" w:sz="4" w:space="0"/>
            </w:tcBorders>
            <w:noWrap w:val="0"/>
            <w:vAlign w:val="center"/>
          </w:tcPr>
          <w:p w14:paraId="0E89EB80">
            <w:pPr>
              <w:widowControl/>
              <w:jc w:val="center"/>
              <w:rPr>
                <w:rFonts w:hint="eastAsia" w:ascii="仿宋_GB2312" w:hAnsi="仿宋_GB2312" w:eastAsia="仿宋_GB2312" w:cs="仿宋_GB2312"/>
                <w:color w:val="000000"/>
                <w:kern w:val="0"/>
                <w:sz w:val="18"/>
                <w:szCs w:val="18"/>
                <w:highlight w:val="none"/>
              </w:rPr>
            </w:pPr>
            <w:r>
              <w:rPr>
                <w:rFonts w:hint="eastAsia" w:ascii="仿宋_GB2312" w:hAnsi="仿宋_GB2312" w:eastAsia="仿宋_GB2312" w:cs="仿宋_GB2312"/>
                <w:color w:val="000000"/>
                <w:kern w:val="0"/>
                <w:sz w:val="18"/>
                <w:szCs w:val="18"/>
                <w:highlight w:val="none"/>
              </w:rPr>
              <w:t>1</w:t>
            </w:r>
          </w:p>
        </w:tc>
        <w:tc>
          <w:tcPr>
            <w:tcW w:w="1268" w:type="dxa"/>
            <w:tcBorders>
              <w:top w:val="nil"/>
              <w:left w:val="nil"/>
              <w:bottom w:val="single" w:color="auto" w:sz="4" w:space="0"/>
              <w:right w:val="single" w:color="auto" w:sz="4" w:space="0"/>
            </w:tcBorders>
            <w:noWrap w:val="0"/>
            <w:vAlign w:val="center"/>
          </w:tcPr>
          <w:p w14:paraId="193B3664">
            <w:pPr>
              <w:widowControl/>
              <w:jc w:val="center"/>
              <w:rPr>
                <w:rFonts w:hint="eastAsia" w:ascii="仿宋_GB2312" w:hAnsi="仿宋_GB2312" w:eastAsia="仿宋_GB2312" w:cs="仿宋_GB2312"/>
                <w:color w:val="000000"/>
                <w:kern w:val="0"/>
                <w:sz w:val="18"/>
                <w:szCs w:val="18"/>
                <w:highlight w:val="none"/>
              </w:rPr>
            </w:pPr>
            <w:r>
              <w:rPr>
                <w:rFonts w:hint="eastAsia" w:ascii="仿宋_GB2312" w:hAnsi="仿宋_GB2312" w:eastAsia="仿宋_GB2312" w:cs="仿宋_GB2312"/>
                <w:color w:val="000000"/>
                <w:kern w:val="0"/>
                <w:sz w:val="18"/>
                <w:szCs w:val="18"/>
                <w:highlight w:val="none"/>
              </w:rPr>
              <w:t>1号线八鸽岩地铁站C出口零星地块</w:t>
            </w:r>
          </w:p>
        </w:tc>
        <w:tc>
          <w:tcPr>
            <w:tcW w:w="988" w:type="dxa"/>
            <w:tcBorders>
              <w:top w:val="nil"/>
              <w:left w:val="nil"/>
              <w:bottom w:val="single" w:color="auto" w:sz="4" w:space="0"/>
              <w:right w:val="single" w:color="auto" w:sz="4" w:space="0"/>
            </w:tcBorders>
            <w:noWrap w:val="0"/>
            <w:vAlign w:val="center"/>
          </w:tcPr>
          <w:p w14:paraId="5F44F365">
            <w:pPr>
              <w:widowControl/>
              <w:jc w:val="center"/>
              <w:rPr>
                <w:rFonts w:hint="eastAsia" w:ascii="仿宋_GB2312" w:hAnsi="仿宋_GB2312" w:eastAsia="仿宋_GB2312" w:cs="仿宋_GB2312"/>
                <w:color w:val="000000"/>
                <w:kern w:val="0"/>
                <w:sz w:val="18"/>
                <w:szCs w:val="18"/>
                <w:highlight w:val="none"/>
              </w:rPr>
            </w:pPr>
            <w:r>
              <w:rPr>
                <w:rFonts w:hint="eastAsia" w:ascii="仿宋_GB2312" w:hAnsi="仿宋_GB2312" w:eastAsia="仿宋_GB2312" w:cs="仿宋_GB2312"/>
                <w:color w:val="000000"/>
                <w:kern w:val="0"/>
                <w:sz w:val="18"/>
                <w:szCs w:val="18"/>
                <w:highlight w:val="none"/>
              </w:rPr>
              <w:t>260.86</w:t>
            </w:r>
          </w:p>
        </w:tc>
        <w:tc>
          <w:tcPr>
            <w:tcW w:w="884" w:type="dxa"/>
            <w:tcBorders>
              <w:top w:val="nil"/>
              <w:left w:val="nil"/>
              <w:bottom w:val="single" w:color="auto" w:sz="4" w:space="0"/>
              <w:right w:val="single" w:color="auto" w:sz="4" w:space="0"/>
            </w:tcBorders>
            <w:noWrap w:val="0"/>
            <w:vAlign w:val="center"/>
          </w:tcPr>
          <w:p w14:paraId="68961FBC">
            <w:pPr>
              <w:widowControl/>
              <w:jc w:val="center"/>
              <w:rPr>
                <w:rFonts w:hint="eastAsia" w:ascii="仿宋_GB2312" w:hAnsi="仿宋_GB2312" w:eastAsia="仿宋_GB2312" w:cs="仿宋_GB2312"/>
                <w:color w:val="000000"/>
                <w:kern w:val="0"/>
                <w:sz w:val="18"/>
                <w:szCs w:val="18"/>
                <w:highlight w:val="none"/>
              </w:rPr>
            </w:pPr>
            <w:r>
              <w:rPr>
                <w:rFonts w:hint="eastAsia" w:ascii="仿宋_GB2312" w:hAnsi="仿宋_GB2312" w:eastAsia="仿宋_GB2312" w:cs="仿宋_GB2312"/>
                <w:color w:val="000000"/>
                <w:kern w:val="0"/>
                <w:sz w:val="18"/>
                <w:szCs w:val="18"/>
                <w:highlight w:val="none"/>
              </w:rPr>
              <w:t>7</w:t>
            </w:r>
          </w:p>
        </w:tc>
        <w:tc>
          <w:tcPr>
            <w:tcW w:w="980" w:type="dxa"/>
            <w:tcBorders>
              <w:top w:val="nil"/>
              <w:left w:val="nil"/>
              <w:bottom w:val="single" w:color="auto" w:sz="4" w:space="0"/>
              <w:right w:val="single" w:color="auto" w:sz="4" w:space="0"/>
            </w:tcBorders>
            <w:noWrap w:val="0"/>
            <w:vAlign w:val="center"/>
          </w:tcPr>
          <w:p w14:paraId="42872DFF">
            <w:pPr>
              <w:widowControl/>
              <w:jc w:val="center"/>
              <w:rPr>
                <w:rFonts w:hint="eastAsia" w:ascii="仿宋_GB2312" w:hAnsi="仿宋_GB2312" w:eastAsia="仿宋_GB2312" w:cs="仿宋_GB2312"/>
                <w:color w:val="000000"/>
                <w:kern w:val="0"/>
                <w:sz w:val="18"/>
                <w:szCs w:val="18"/>
                <w:highlight w:val="none"/>
              </w:rPr>
            </w:pPr>
            <w:r>
              <w:rPr>
                <w:rFonts w:hint="eastAsia" w:ascii="仿宋_GB2312" w:hAnsi="仿宋_GB2312" w:eastAsia="仿宋_GB2312" w:cs="仿宋_GB2312"/>
                <w:color w:val="000000"/>
                <w:kern w:val="0"/>
                <w:sz w:val="18"/>
                <w:szCs w:val="18"/>
                <w:highlight w:val="none"/>
              </w:rPr>
              <w:t>113584.89</w:t>
            </w:r>
          </w:p>
        </w:tc>
        <w:tc>
          <w:tcPr>
            <w:tcW w:w="994" w:type="dxa"/>
            <w:tcBorders>
              <w:top w:val="nil"/>
              <w:left w:val="nil"/>
              <w:bottom w:val="single" w:color="auto" w:sz="4" w:space="0"/>
              <w:right w:val="single" w:color="auto" w:sz="4" w:space="0"/>
            </w:tcBorders>
            <w:noWrap w:val="0"/>
            <w:vAlign w:val="center"/>
          </w:tcPr>
          <w:p w14:paraId="025EC606">
            <w:pPr>
              <w:widowControl/>
              <w:jc w:val="center"/>
              <w:rPr>
                <w:rFonts w:hint="eastAsia" w:ascii="仿宋_GB2312" w:hAnsi="仿宋_GB2312" w:eastAsia="仿宋_GB2312" w:cs="仿宋_GB2312"/>
                <w:color w:val="000000"/>
                <w:kern w:val="0"/>
                <w:sz w:val="18"/>
                <w:szCs w:val="18"/>
                <w:highlight w:val="none"/>
              </w:rPr>
            </w:pPr>
            <w:r>
              <w:rPr>
                <w:rFonts w:hint="eastAsia" w:ascii="仿宋_GB2312" w:hAnsi="仿宋_GB2312" w:eastAsia="仿宋_GB2312" w:cs="仿宋_GB2312"/>
                <w:color w:val="000000"/>
                <w:kern w:val="0"/>
                <w:sz w:val="18"/>
                <w:szCs w:val="18"/>
                <w:highlight w:val="none"/>
              </w:rPr>
              <w:t>21912.24</w:t>
            </w:r>
          </w:p>
        </w:tc>
        <w:tc>
          <w:tcPr>
            <w:tcW w:w="920" w:type="dxa"/>
            <w:tcBorders>
              <w:top w:val="nil"/>
              <w:left w:val="nil"/>
              <w:bottom w:val="single" w:color="auto" w:sz="4" w:space="0"/>
              <w:right w:val="single" w:color="auto" w:sz="4" w:space="0"/>
            </w:tcBorders>
            <w:noWrap w:val="0"/>
            <w:vAlign w:val="center"/>
          </w:tcPr>
          <w:p w14:paraId="6A14F0F6">
            <w:pPr>
              <w:widowControl/>
              <w:jc w:val="center"/>
              <w:rPr>
                <w:rFonts w:hint="eastAsia" w:ascii="仿宋_GB2312" w:hAnsi="仿宋_GB2312" w:eastAsia="仿宋_GB2312" w:cs="仿宋_GB2312"/>
                <w:color w:val="000000"/>
                <w:kern w:val="0"/>
                <w:sz w:val="18"/>
                <w:szCs w:val="18"/>
                <w:highlight w:val="none"/>
              </w:rPr>
            </w:pPr>
            <w:r>
              <w:rPr>
                <w:rFonts w:hint="eastAsia" w:ascii="仿宋_GB2312" w:hAnsi="仿宋_GB2312" w:eastAsia="仿宋_GB2312" w:cs="仿宋_GB2312"/>
                <w:color w:val="000000"/>
                <w:kern w:val="0"/>
                <w:sz w:val="18"/>
                <w:szCs w:val="18"/>
                <w:highlight w:val="none"/>
              </w:rPr>
              <w:t>21912.24</w:t>
            </w:r>
          </w:p>
        </w:tc>
        <w:tc>
          <w:tcPr>
            <w:tcW w:w="1029" w:type="dxa"/>
            <w:tcBorders>
              <w:top w:val="nil"/>
              <w:left w:val="nil"/>
              <w:bottom w:val="single" w:color="auto" w:sz="4" w:space="0"/>
              <w:right w:val="single" w:color="auto" w:sz="4" w:space="0"/>
            </w:tcBorders>
            <w:noWrap w:val="0"/>
            <w:vAlign w:val="center"/>
          </w:tcPr>
          <w:p w14:paraId="52500D6B">
            <w:pPr>
              <w:widowControl/>
              <w:jc w:val="center"/>
              <w:rPr>
                <w:rFonts w:hint="eastAsia" w:ascii="仿宋_GB2312" w:hAnsi="仿宋_GB2312" w:eastAsia="仿宋_GB2312" w:cs="仿宋_GB2312"/>
                <w:color w:val="000000"/>
                <w:kern w:val="0"/>
                <w:sz w:val="18"/>
                <w:szCs w:val="18"/>
                <w:highlight w:val="none"/>
              </w:rPr>
            </w:pPr>
            <w:r>
              <w:rPr>
                <w:rFonts w:hint="eastAsia" w:ascii="仿宋_GB2312" w:hAnsi="仿宋_GB2312" w:eastAsia="仿宋_GB2312" w:cs="仿宋_GB2312"/>
                <w:color w:val="000000"/>
                <w:kern w:val="0"/>
                <w:sz w:val="18"/>
                <w:szCs w:val="18"/>
                <w:highlight w:val="none"/>
              </w:rPr>
              <w:t>22569.61</w:t>
            </w:r>
          </w:p>
        </w:tc>
        <w:tc>
          <w:tcPr>
            <w:tcW w:w="924" w:type="dxa"/>
            <w:tcBorders>
              <w:top w:val="nil"/>
              <w:left w:val="nil"/>
              <w:bottom w:val="single" w:color="auto" w:sz="4" w:space="0"/>
              <w:right w:val="single" w:color="auto" w:sz="4" w:space="0"/>
            </w:tcBorders>
            <w:noWrap w:val="0"/>
            <w:vAlign w:val="center"/>
          </w:tcPr>
          <w:p w14:paraId="5F35C72E">
            <w:pPr>
              <w:widowControl/>
              <w:jc w:val="center"/>
              <w:rPr>
                <w:rFonts w:hint="eastAsia" w:ascii="仿宋_GB2312" w:hAnsi="仿宋_GB2312" w:eastAsia="仿宋_GB2312" w:cs="仿宋_GB2312"/>
                <w:color w:val="000000"/>
                <w:kern w:val="0"/>
                <w:sz w:val="18"/>
                <w:szCs w:val="18"/>
                <w:highlight w:val="none"/>
              </w:rPr>
            </w:pPr>
            <w:r>
              <w:rPr>
                <w:rFonts w:hint="eastAsia" w:ascii="仿宋_GB2312" w:hAnsi="仿宋_GB2312" w:eastAsia="仿宋_GB2312" w:cs="仿宋_GB2312"/>
                <w:color w:val="000000"/>
                <w:kern w:val="0"/>
                <w:sz w:val="18"/>
                <w:szCs w:val="18"/>
                <w:highlight w:val="none"/>
              </w:rPr>
              <w:t>23246.70</w:t>
            </w:r>
          </w:p>
        </w:tc>
        <w:tc>
          <w:tcPr>
            <w:tcW w:w="977" w:type="dxa"/>
            <w:tcBorders>
              <w:top w:val="nil"/>
              <w:left w:val="nil"/>
              <w:bottom w:val="single" w:color="auto" w:sz="4" w:space="0"/>
              <w:right w:val="single" w:color="auto" w:sz="4" w:space="0"/>
            </w:tcBorders>
            <w:noWrap w:val="0"/>
            <w:vAlign w:val="center"/>
          </w:tcPr>
          <w:p w14:paraId="3D4288CB">
            <w:pPr>
              <w:widowControl/>
              <w:jc w:val="center"/>
              <w:rPr>
                <w:rFonts w:hint="eastAsia" w:ascii="仿宋_GB2312" w:hAnsi="仿宋_GB2312" w:eastAsia="仿宋_GB2312" w:cs="仿宋_GB2312"/>
                <w:color w:val="000000"/>
                <w:kern w:val="0"/>
                <w:sz w:val="18"/>
                <w:szCs w:val="18"/>
                <w:highlight w:val="none"/>
              </w:rPr>
            </w:pPr>
            <w:r>
              <w:rPr>
                <w:rFonts w:hint="eastAsia" w:ascii="仿宋_GB2312" w:hAnsi="仿宋_GB2312" w:eastAsia="仿宋_GB2312" w:cs="仿宋_GB2312"/>
                <w:color w:val="000000"/>
                <w:kern w:val="0"/>
                <w:sz w:val="18"/>
                <w:szCs w:val="18"/>
                <w:highlight w:val="none"/>
              </w:rPr>
              <w:t>23944.10</w:t>
            </w:r>
          </w:p>
        </w:tc>
      </w:tr>
      <w:tr w14:paraId="61963285">
        <w:tblPrEx>
          <w:tblCellMar>
            <w:top w:w="0" w:type="dxa"/>
            <w:left w:w="108" w:type="dxa"/>
            <w:bottom w:w="0" w:type="dxa"/>
            <w:right w:w="108" w:type="dxa"/>
          </w:tblCellMar>
        </w:tblPrEx>
        <w:trPr>
          <w:trHeight w:val="875" w:hRule="atLeast"/>
        </w:trPr>
        <w:tc>
          <w:tcPr>
            <w:tcW w:w="546" w:type="dxa"/>
            <w:tcBorders>
              <w:top w:val="nil"/>
              <w:left w:val="single" w:color="auto" w:sz="4" w:space="0"/>
              <w:bottom w:val="single" w:color="auto" w:sz="4" w:space="0"/>
              <w:right w:val="single" w:color="auto" w:sz="4" w:space="0"/>
            </w:tcBorders>
            <w:noWrap w:val="0"/>
            <w:vAlign w:val="center"/>
          </w:tcPr>
          <w:p w14:paraId="54EAA3B8">
            <w:pPr>
              <w:widowControl/>
              <w:jc w:val="center"/>
              <w:rPr>
                <w:rFonts w:hint="eastAsia" w:ascii="仿宋_GB2312" w:hAnsi="仿宋_GB2312" w:eastAsia="仿宋_GB2312" w:cs="仿宋_GB2312"/>
                <w:color w:val="000000"/>
                <w:kern w:val="0"/>
                <w:sz w:val="18"/>
                <w:szCs w:val="18"/>
                <w:highlight w:val="none"/>
              </w:rPr>
            </w:pPr>
            <w:r>
              <w:rPr>
                <w:rFonts w:hint="eastAsia" w:ascii="仿宋_GB2312" w:hAnsi="仿宋_GB2312" w:eastAsia="仿宋_GB2312" w:cs="仿宋_GB2312"/>
                <w:color w:val="000000"/>
                <w:kern w:val="0"/>
                <w:sz w:val="18"/>
                <w:szCs w:val="18"/>
                <w:highlight w:val="none"/>
              </w:rPr>
              <w:t>合计</w:t>
            </w:r>
          </w:p>
        </w:tc>
        <w:tc>
          <w:tcPr>
            <w:tcW w:w="1268" w:type="dxa"/>
            <w:tcBorders>
              <w:top w:val="nil"/>
              <w:left w:val="nil"/>
              <w:bottom w:val="single" w:color="auto" w:sz="4" w:space="0"/>
              <w:right w:val="single" w:color="auto" w:sz="4" w:space="0"/>
            </w:tcBorders>
            <w:noWrap w:val="0"/>
            <w:vAlign w:val="center"/>
          </w:tcPr>
          <w:p w14:paraId="0B7938FA">
            <w:pPr>
              <w:widowControl/>
              <w:jc w:val="center"/>
              <w:rPr>
                <w:rFonts w:hint="eastAsia" w:ascii="仿宋_GB2312" w:hAnsi="仿宋_GB2312" w:eastAsia="仿宋_GB2312" w:cs="仿宋_GB2312"/>
                <w:color w:val="000000"/>
                <w:kern w:val="0"/>
                <w:sz w:val="18"/>
                <w:szCs w:val="18"/>
                <w:highlight w:val="none"/>
              </w:rPr>
            </w:pPr>
            <w:r>
              <w:rPr>
                <w:rFonts w:hint="eastAsia" w:ascii="仿宋_GB2312" w:hAnsi="仿宋_GB2312" w:eastAsia="仿宋_GB2312" w:cs="仿宋_GB2312"/>
                <w:color w:val="000000"/>
                <w:kern w:val="0"/>
                <w:sz w:val="18"/>
                <w:szCs w:val="18"/>
                <w:highlight w:val="none"/>
              </w:rPr>
              <w:t>　</w:t>
            </w:r>
          </w:p>
        </w:tc>
        <w:tc>
          <w:tcPr>
            <w:tcW w:w="988" w:type="dxa"/>
            <w:tcBorders>
              <w:top w:val="nil"/>
              <w:left w:val="nil"/>
              <w:bottom w:val="single" w:color="auto" w:sz="4" w:space="0"/>
              <w:right w:val="single" w:color="auto" w:sz="4" w:space="0"/>
            </w:tcBorders>
            <w:noWrap w:val="0"/>
            <w:vAlign w:val="center"/>
          </w:tcPr>
          <w:p w14:paraId="4119BDD2">
            <w:pPr>
              <w:widowControl/>
              <w:jc w:val="center"/>
              <w:rPr>
                <w:rFonts w:hint="eastAsia" w:ascii="仿宋_GB2312" w:hAnsi="仿宋_GB2312" w:eastAsia="仿宋_GB2312" w:cs="仿宋_GB2312"/>
                <w:color w:val="000000"/>
                <w:kern w:val="0"/>
                <w:sz w:val="18"/>
                <w:szCs w:val="18"/>
                <w:highlight w:val="none"/>
              </w:rPr>
            </w:pPr>
            <w:r>
              <w:rPr>
                <w:rFonts w:hint="eastAsia" w:ascii="仿宋_GB2312" w:hAnsi="仿宋_GB2312" w:eastAsia="仿宋_GB2312" w:cs="仿宋_GB2312"/>
                <w:color w:val="000000"/>
                <w:kern w:val="0"/>
                <w:sz w:val="18"/>
                <w:szCs w:val="18"/>
                <w:highlight w:val="none"/>
              </w:rPr>
              <w:t>260.86</w:t>
            </w:r>
          </w:p>
        </w:tc>
        <w:tc>
          <w:tcPr>
            <w:tcW w:w="884" w:type="dxa"/>
            <w:tcBorders>
              <w:top w:val="nil"/>
              <w:left w:val="nil"/>
              <w:bottom w:val="single" w:color="auto" w:sz="4" w:space="0"/>
              <w:right w:val="single" w:color="auto" w:sz="4" w:space="0"/>
            </w:tcBorders>
            <w:noWrap w:val="0"/>
            <w:vAlign w:val="center"/>
          </w:tcPr>
          <w:p w14:paraId="457599A1">
            <w:pPr>
              <w:widowControl/>
              <w:jc w:val="center"/>
              <w:rPr>
                <w:rFonts w:hint="eastAsia" w:ascii="仿宋_GB2312" w:hAnsi="仿宋_GB2312" w:eastAsia="仿宋_GB2312" w:cs="仿宋_GB2312"/>
                <w:color w:val="000000"/>
                <w:kern w:val="0"/>
                <w:sz w:val="18"/>
                <w:szCs w:val="18"/>
                <w:highlight w:val="none"/>
              </w:rPr>
            </w:pPr>
            <w:r>
              <w:rPr>
                <w:rFonts w:hint="eastAsia" w:ascii="仿宋_GB2312" w:hAnsi="仿宋_GB2312" w:eastAsia="仿宋_GB2312" w:cs="仿宋_GB2312"/>
                <w:color w:val="000000"/>
                <w:kern w:val="0"/>
                <w:sz w:val="18"/>
                <w:szCs w:val="18"/>
                <w:highlight w:val="none"/>
              </w:rPr>
              <w:t>7</w:t>
            </w:r>
          </w:p>
        </w:tc>
        <w:tc>
          <w:tcPr>
            <w:tcW w:w="980" w:type="dxa"/>
            <w:tcBorders>
              <w:top w:val="nil"/>
              <w:left w:val="nil"/>
              <w:bottom w:val="single" w:color="auto" w:sz="4" w:space="0"/>
              <w:right w:val="single" w:color="auto" w:sz="4" w:space="0"/>
            </w:tcBorders>
            <w:noWrap w:val="0"/>
            <w:vAlign w:val="center"/>
          </w:tcPr>
          <w:p w14:paraId="7AE39692">
            <w:pPr>
              <w:widowControl/>
              <w:jc w:val="center"/>
              <w:rPr>
                <w:rFonts w:hint="eastAsia" w:ascii="仿宋_GB2312" w:hAnsi="仿宋_GB2312" w:eastAsia="仿宋_GB2312" w:cs="仿宋_GB2312"/>
                <w:color w:val="000000"/>
                <w:kern w:val="0"/>
                <w:sz w:val="18"/>
                <w:szCs w:val="18"/>
                <w:highlight w:val="none"/>
              </w:rPr>
            </w:pPr>
            <w:r>
              <w:rPr>
                <w:rFonts w:hint="eastAsia" w:ascii="仿宋_GB2312" w:hAnsi="仿宋_GB2312" w:eastAsia="仿宋_GB2312" w:cs="仿宋_GB2312"/>
                <w:color w:val="000000"/>
                <w:kern w:val="0"/>
                <w:sz w:val="18"/>
                <w:szCs w:val="18"/>
                <w:highlight w:val="none"/>
              </w:rPr>
              <w:t>113584.89</w:t>
            </w:r>
          </w:p>
        </w:tc>
        <w:tc>
          <w:tcPr>
            <w:tcW w:w="994" w:type="dxa"/>
            <w:tcBorders>
              <w:top w:val="nil"/>
              <w:left w:val="nil"/>
              <w:bottom w:val="single" w:color="auto" w:sz="4" w:space="0"/>
              <w:right w:val="single" w:color="auto" w:sz="4" w:space="0"/>
            </w:tcBorders>
            <w:noWrap w:val="0"/>
            <w:vAlign w:val="center"/>
          </w:tcPr>
          <w:p w14:paraId="712A6EA8">
            <w:pPr>
              <w:widowControl/>
              <w:jc w:val="center"/>
              <w:rPr>
                <w:rFonts w:hint="eastAsia" w:ascii="仿宋_GB2312" w:hAnsi="仿宋_GB2312" w:eastAsia="仿宋_GB2312" w:cs="仿宋_GB2312"/>
                <w:color w:val="000000"/>
                <w:kern w:val="0"/>
                <w:sz w:val="18"/>
                <w:szCs w:val="18"/>
                <w:highlight w:val="none"/>
              </w:rPr>
            </w:pPr>
            <w:r>
              <w:rPr>
                <w:rFonts w:hint="eastAsia" w:ascii="仿宋_GB2312" w:hAnsi="仿宋_GB2312" w:eastAsia="仿宋_GB2312" w:cs="仿宋_GB2312"/>
                <w:color w:val="000000"/>
                <w:kern w:val="0"/>
                <w:sz w:val="18"/>
                <w:szCs w:val="18"/>
                <w:highlight w:val="none"/>
              </w:rPr>
              <w:t>21912.24</w:t>
            </w:r>
          </w:p>
        </w:tc>
        <w:tc>
          <w:tcPr>
            <w:tcW w:w="920" w:type="dxa"/>
            <w:tcBorders>
              <w:top w:val="nil"/>
              <w:left w:val="nil"/>
              <w:bottom w:val="single" w:color="auto" w:sz="4" w:space="0"/>
              <w:right w:val="single" w:color="auto" w:sz="4" w:space="0"/>
            </w:tcBorders>
            <w:noWrap w:val="0"/>
            <w:vAlign w:val="center"/>
          </w:tcPr>
          <w:p w14:paraId="7F91647E">
            <w:pPr>
              <w:widowControl/>
              <w:jc w:val="center"/>
              <w:rPr>
                <w:rFonts w:hint="eastAsia" w:ascii="仿宋_GB2312" w:hAnsi="仿宋_GB2312" w:eastAsia="仿宋_GB2312" w:cs="仿宋_GB2312"/>
                <w:color w:val="000000"/>
                <w:kern w:val="0"/>
                <w:sz w:val="18"/>
                <w:szCs w:val="18"/>
                <w:highlight w:val="none"/>
              </w:rPr>
            </w:pPr>
            <w:r>
              <w:rPr>
                <w:rFonts w:hint="eastAsia" w:ascii="仿宋_GB2312" w:hAnsi="仿宋_GB2312" w:eastAsia="仿宋_GB2312" w:cs="仿宋_GB2312"/>
                <w:color w:val="000000"/>
                <w:kern w:val="0"/>
                <w:sz w:val="18"/>
                <w:szCs w:val="18"/>
                <w:highlight w:val="none"/>
              </w:rPr>
              <w:t>21912.24</w:t>
            </w:r>
          </w:p>
        </w:tc>
        <w:tc>
          <w:tcPr>
            <w:tcW w:w="1029" w:type="dxa"/>
            <w:tcBorders>
              <w:top w:val="nil"/>
              <w:left w:val="nil"/>
              <w:bottom w:val="single" w:color="auto" w:sz="4" w:space="0"/>
              <w:right w:val="single" w:color="auto" w:sz="4" w:space="0"/>
            </w:tcBorders>
            <w:noWrap w:val="0"/>
            <w:vAlign w:val="center"/>
          </w:tcPr>
          <w:p w14:paraId="37AD022B">
            <w:pPr>
              <w:widowControl/>
              <w:jc w:val="center"/>
              <w:rPr>
                <w:rFonts w:hint="eastAsia" w:ascii="仿宋_GB2312" w:hAnsi="仿宋_GB2312" w:eastAsia="仿宋_GB2312" w:cs="仿宋_GB2312"/>
                <w:color w:val="000000"/>
                <w:kern w:val="0"/>
                <w:sz w:val="18"/>
                <w:szCs w:val="18"/>
                <w:highlight w:val="none"/>
              </w:rPr>
            </w:pPr>
            <w:r>
              <w:rPr>
                <w:rFonts w:hint="eastAsia" w:ascii="仿宋_GB2312" w:hAnsi="仿宋_GB2312" w:eastAsia="仿宋_GB2312" w:cs="仿宋_GB2312"/>
                <w:color w:val="000000"/>
                <w:kern w:val="0"/>
                <w:sz w:val="18"/>
                <w:szCs w:val="18"/>
                <w:highlight w:val="none"/>
              </w:rPr>
              <w:t>22569.61</w:t>
            </w:r>
          </w:p>
        </w:tc>
        <w:tc>
          <w:tcPr>
            <w:tcW w:w="924" w:type="dxa"/>
            <w:tcBorders>
              <w:top w:val="nil"/>
              <w:left w:val="nil"/>
              <w:bottom w:val="single" w:color="auto" w:sz="4" w:space="0"/>
              <w:right w:val="single" w:color="auto" w:sz="4" w:space="0"/>
            </w:tcBorders>
            <w:noWrap w:val="0"/>
            <w:vAlign w:val="center"/>
          </w:tcPr>
          <w:p w14:paraId="4A2DCEA1">
            <w:pPr>
              <w:widowControl/>
              <w:jc w:val="center"/>
              <w:rPr>
                <w:rFonts w:hint="eastAsia" w:ascii="仿宋_GB2312" w:hAnsi="仿宋_GB2312" w:eastAsia="仿宋_GB2312" w:cs="仿宋_GB2312"/>
                <w:color w:val="000000"/>
                <w:kern w:val="0"/>
                <w:sz w:val="18"/>
                <w:szCs w:val="18"/>
                <w:highlight w:val="none"/>
              </w:rPr>
            </w:pPr>
            <w:r>
              <w:rPr>
                <w:rFonts w:hint="eastAsia" w:ascii="仿宋_GB2312" w:hAnsi="仿宋_GB2312" w:eastAsia="仿宋_GB2312" w:cs="仿宋_GB2312"/>
                <w:color w:val="000000"/>
                <w:kern w:val="0"/>
                <w:sz w:val="18"/>
                <w:szCs w:val="18"/>
                <w:highlight w:val="none"/>
              </w:rPr>
              <w:t>23246.70</w:t>
            </w:r>
          </w:p>
        </w:tc>
        <w:tc>
          <w:tcPr>
            <w:tcW w:w="977" w:type="dxa"/>
            <w:tcBorders>
              <w:top w:val="nil"/>
              <w:left w:val="nil"/>
              <w:bottom w:val="single" w:color="auto" w:sz="4" w:space="0"/>
              <w:right w:val="single" w:color="auto" w:sz="4" w:space="0"/>
            </w:tcBorders>
            <w:noWrap w:val="0"/>
            <w:vAlign w:val="center"/>
          </w:tcPr>
          <w:p w14:paraId="3D582B62">
            <w:pPr>
              <w:widowControl/>
              <w:jc w:val="center"/>
              <w:rPr>
                <w:rFonts w:hint="eastAsia" w:ascii="仿宋_GB2312" w:hAnsi="仿宋_GB2312" w:eastAsia="仿宋_GB2312" w:cs="仿宋_GB2312"/>
                <w:color w:val="000000"/>
                <w:kern w:val="0"/>
                <w:sz w:val="18"/>
                <w:szCs w:val="18"/>
                <w:highlight w:val="none"/>
              </w:rPr>
            </w:pPr>
            <w:r>
              <w:rPr>
                <w:rFonts w:hint="eastAsia" w:ascii="仿宋_GB2312" w:hAnsi="仿宋_GB2312" w:eastAsia="仿宋_GB2312" w:cs="仿宋_GB2312"/>
                <w:color w:val="000000"/>
                <w:kern w:val="0"/>
                <w:sz w:val="18"/>
                <w:szCs w:val="18"/>
                <w:highlight w:val="none"/>
              </w:rPr>
              <w:t>23944.10</w:t>
            </w:r>
          </w:p>
        </w:tc>
      </w:tr>
    </w:tbl>
    <w:p w14:paraId="432DC0E3">
      <w:pPr>
        <w:ind w:firstLine="360" w:firstLineChars="200"/>
        <w:rPr>
          <w:rFonts w:hint="eastAsia" w:ascii="宋体" w:hAnsi="宋体" w:eastAsia="宋体" w:cs="宋体"/>
          <w:color w:val="000000"/>
          <w:kern w:val="0"/>
          <w:sz w:val="18"/>
          <w:szCs w:val="18"/>
          <w:highlight w:val="none"/>
        </w:rPr>
      </w:pPr>
      <w:r>
        <w:rPr>
          <w:rFonts w:hint="eastAsia" w:ascii="宋体" w:hAnsi="宋体" w:eastAsia="宋体" w:cs="宋体"/>
          <w:color w:val="000000"/>
          <w:kern w:val="0"/>
          <w:sz w:val="18"/>
          <w:szCs w:val="18"/>
          <w:highlight w:val="none"/>
        </w:rPr>
        <w:t>注：租金第一年至第二年不递增，第三年及以后的租金在上一个年度基础上每年递增3%。</w:t>
      </w:r>
    </w:p>
    <w:p w14:paraId="73C0060C">
      <w:pPr>
        <w:ind w:firstLine="360" w:firstLineChars="200"/>
        <w:rPr>
          <w:rFonts w:hint="eastAsia" w:ascii="宋体" w:hAnsi="宋体" w:eastAsia="宋体" w:cs="宋体"/>
          <w:color w:val="000000"/>
          <w:kern w:val="0"/>
          <w:sz w:val="18"/>
          <w:szCs w:val="18"/>
          <w:highlight w:val="none"/>
        </w:rPr>
      </w:pPr>
      <w:r>
        <w:rPr>
          <w:rFonts w:hint="eastAsia" w:ascii="宋体" w:hAnsi="宋体" w:eastAsia="宋体" w:cs="宋体"/>
          <w:color w:val="000000"/>
          <w:kern w:val="0"/>
          <w:sz w:val="18"/>
          <w:szCs w:val="18"/>
          <w:highlight w:val="none"/>
        </w:rPr>
        <w:t>（二）招租底价拟定依据：以贵州和禧资产评估事务有限公司出具的评估报告书（黔和禧评报字（2024）第075号）的评估价格为挂牌出租底价。</w:t>
      </w:r>
    </w:p>
    <w:p w14:paraId="655840EB">
      <w:pPr>
        <w:ind w:firstLine="360" w:firstLineChars="200"/>
        <w:rPr>
          <w:rFonts w:hint="eastAsia" w:ascii="宋体" w:hAnsi="宋体" w:eastAsia="宋体" w:cs="宋体"/>
          <w:color w:val="000000"/>
          <w:kern w:val="0"/>
          <w:sz w:val="18"/>
          <w:szCs w:val="18"/>
          <w:highlight w:val="none"/>
        </w:rPr>
      </w:pPr>
      <w:r>
        <w:rPr>
          <w:rFonts w:hint="eastAsia" w:ascii="宋体" w:hAnsi="宋体" w:eastAsia="宋体" w:cs="宋体"/>
          <w:color w:val="000000"/>
          <w:kern w:val="0"/>
          <w:sz w:val="18"/>
          <w:szCs w:val="18"/>
          <w:highlight w:val="none"/>
        </w:rPr>
        <w:t>（三）如现场开展充电业务，则参与充电服务费收入分成，充电服务费分成原则为：</w:t>
      </w:r>
      <w:bookmarkStart w:id="1" w:name="_Hlk140833015"/>
      <w:r>
        <w:rPr>
          <w:rFonts w:hint="eastAsia" w:ascii="宋体" w:hAnsi="宋体" w:eastAsia="宋体" w:cs="宋体"/>
          <w:color w:val="000000"/>
          <w:kern w:val="0"/>
          <w:sz w:val="18"/>
          <w:szCs w:val="18"/>
          <w:highlight w:val="none"/>
        </w:rPr>
        <w:t>第1年—第3年充电服务费收入分成比例为5%，第4年—第5年充电服务费收入分成比例为8%（充电费服务收入=充电收入-电费（含电损）-6‰交易手续费-12%促销活动费用），最终根据实际收益按上述比例进行分成。</w:t>
      </w:r>
      <w:bookmarkEnd w:id="1"/>
      <w:r>
        <w:rPr>
          <w:rFonts w:hint="eastAsia" w:ascii="宋体" w:hAnsi="宋体" w:eastAsia="宋体" w:cs="宋体"/>
          <w:color w:val="000000"/>
          <w:kern w:val="0"/>
          <w:sz w:val="18"/>
          <w:szCs w:val="18"/>
          <w:highlight w:val="none"/>
        </w:rPr>
        <w:t>充电桩如有其它盈利性质业务的收益，各方另行协商分成事宜。</w:t>
      </w:r>
    </w:p>
    <w:p w14:paraId="65DB1911">
      <w:pPr>
        <w:ind w:firstLine="422" w:firstLineChars="200"/>
        <w:outlineLvl w:val="0"/>
        <w:rPr>
          <w:rFonts w:hint="eastAsia" w:ascii="宋体" w:hAnsi="宋体" w:eastAsia="宋体" w:cs="宋体"/>
          <w:b/>
          <w:bCs/>
          <w:color w:val="000000"/>
          <w:sz w:val="21"/>
          <w:szCs w:val="21"/>
          <w:highlight w:val="none"/>
        </w:rPr>
      </w:pPr>
    </w:p>
    <w:p w14:paraId="0C602BC3">
      <w:pPr>
        <w:outlineLvl w:val="0"/>
        <w:rPr>
          <w:rFonts w:hint="eastAsia" w:ascii="宋体" w:hAnsi="宋体" w:eastAsia="宋体" w:cs="宋体"/>
          <w:b/>
          <w:bCs/>
          <w:color w:val="000000"/>
          <w:sz w:val="21"/>
          <w:szCs w:val="21"/>
          <w:highlight w:val="none"/>
        </w:rPr>
      </w:pPr>
      <w:r>
        <w:rPr>
          <w:rFonts w:hint="eastAsia" w:ascii="宋体" w:hAnsi="宋体" w:cs="宋体"/>
          <w:b/>
          <w:bCs/>
          <w:color w:val="000000"/>
          <w:sz w:val="21"/>
          <w:szCs w:val="21"/>
          <w:highlight w:val="none"/>
          <w:lang w:eastAsia="zh-CN"/>
        </w:rPr>
        <w:t>一、</w:t>
      </w:r>
      <w:r>
        <w:rPr>
          <w:rFonts w:hint="eastAsia" w:ascii="宋体" w:hAnsi="宋体" w:eastAsia="宋体" w:cs="宋体"/>
          <w:b/>
          <w:bCs/>
          <w:color w:val="000000"/>
          <w:sz w:val="21"/>
          <w:szCs w:val="21"/>
          <w:highlight w:val="none"/>
        </w:rPr>
        <w:t>租金收取方式</w:t>
      </w:r>
    </w:p>
    <w:p w14:paraId="5F91F6E3">
      <w:pPr>
        <w:ind w:right="-481" w:rightChars="-229" w:firstLine="420" w:firstLineChars="200"/>
        <w:jc w:val="left"/>
        <w:rPr>
          <w:rFonts w:hint="eastAsia" w:ascii="宋体" w:hAnsi="宋体" w:eastAsia="宋体" w:cs="宋体"/>
          <w:bCs/>
          <w:color w:val="000000"/>
          <w:kern w:val="0"/>
          <w:sz w:val="21"/>
          <w:szCs w:val="21"/>
          <w:highlight w:val="none"/>
        </w:rPr>
      </w:pPr>
      <w:r>
        <w:rPr>
          <w:rFonts w:hint="eastAsia" w:ascii="宋体" w:hAnsi="宋体" w:eastAsia="宋体" w:cs="宋体"/>
          <w:bCs/>
          <w:color w:val="000000"/>
          <w:kern w:val="0"/>
          <w:sz w:val="21"/>
          <w:szCs w:val="21"/>
          <w:highlight w:val="none"/>
        </w:rPr>
        <w:t>（一）</w:t>
      </w:r>
      <w:bookmarkStart w:id="2" w:name="_Hlk139362010"/>
      <w:bookmarkStart w:id="3" w:name="_Hlk139977287"/>
      <w:r>
        <w:rPr>
          <w:rFonts w:hint="eastAsia" w:ascii="宋体" w:hAnsi="宋体" w:eastAsia="宋体" w:cs="宋体"/>
          <w:bCs/>
          <w:color w:val="000000"/>
          <w:kern w:val="0"/>
          <w:sz w:val="21"/>
          <w:szCs w:val="21"/>
          <w:highlight w:val="none"/>
        </w:rPr>
        <w:t>租金采用预收方式，遵循先交后用原则。</w:t>
      </w:r>
      <w:bookmarkStart w:id="4" w:name="_Hlk139962769"/>
      <w:r>
        <w:rPr>
          <w:rFonts w:hint="eastAsia" w:ascii="宋体" w:hAnsi="宋体" w:eastAsia="宋体" w:cs="宋体"/>
          <w:bCs/>
          <w:color w:val="000000"/>
          <w:kern w:val="0"/>
          <w:sz w:val="21"/>
          <w:szCs w:val="21"/>
          <w:highlight w:val="none"/>
        </w:rPr>
        <w:t>按每半年一次缴纳。</w:t>
      </w:r>
      <w:bookmarkEnd w:id="4"/>
      <w:r>
        <w:rPr>
          <w:rFonts w:hint="eastAsia" w:ascii="宋体" w:hAnsi="宋体" w:eastAsia="宋体" w:cs="宋体"/>
          <w:bCs/>
          <w:color w:val="000000"/>
          <w:kern w:val="0"/>
          <w:sz w:val="21"/>
          <w:szCs w:val="21"/>
          <w:highlight w:val="none"/>
        </w:rPr>
        <w:t>租赁合同签订之日起10个工作日内，承租人须将半年的金一次性转账至出租人指定账户。下一期租金须在上一期租赁期限结束前15个工作日内一次性缴纳半年租金，以此类推。</w:t>
      </w:r>
      <w:bookmarkEnd w:id="2"/>
    </w:p>
    <w:bookmarkEnd w:id="3"/>
    <w:p w14:paraId="0AC033CA">
      <w:pPr>
        <w:ind w:right="-481" w:rightChars="-229" w:firstLine="420" w:firstLineChars="200"/>
        <w:jc w:val="left"/>
        <w:rPr>
          <w:rFonts w:hint="eastAsia" w:ascii="宋体" w:hAnsi="宋体" w:eastAsia="宋体" w:cs="宋体"/>
          <w:bCs/>
          <w:color w:val="000000"/>
          <w:kern w:val="0"/>
          <w:sz w:val="21"/>
          <w:szCs w:val="21"/>
          <w:highlight w:val="none"/>
        </w:rPr>
      </w:pPr>
      <w:r>
        <w:rPr>
          <w:rFonts w:hint="eastAsia" w:ascii="宋体" w:hAnsi="宋体" w:eastAsia="宋体" w:cs="宋体"/>
          <w:bCs/>
          <w:color w:val="000000"/>
          <w:kern w:val="0"/>
          <w:sz w:val="21"/>
          <w:szCs w:val="21"/>
          <w:highlight w:val="none"/>
        </w:rPr>
        <w:t>（二）充电服务费收入分成每三个月结算一次，从充电桩正式运营之日起每三个月的次月15日对账，对账当月承租人完成充电服务费收入分成支付，特殊情况双方协商解决。</w:t>
      </w:r>
    </w:p>
    <w:p w14:paraId="3D3673B4">
      <w:pPr>
        <w:outlineLvl w:val="0"/>
        <w:rPr>
          <w:rFonts w:hint="eastAsia" w:ascii="宋体" w:hAnsi="宋体" w:eastAsia="宋体" w:cs="宋体"/>
          <w:b/>
          <w:bCs/>
          <w:color w:val="000000"/>
          <w:sz w:val="21"/>
          <w:szCs w:val="21"/>
          <w:highlight w:val="none"/>
        </w:rPr>
      </w:pPr>
      <w:r>
        <w:rPr>
          <w:rFonts w:hint="eastAsia" w:ascii="宋体" w:hAnsi="宋体" w:cs="宋体"/>
          <w:b/>
          <w:bCs/>
          <w:color w:val="000000"/>
          <w:sz w:val="21"/>
          <w:szCs w:val="21"/>
          <w:highlight w:val="none"/>
          <w:lang w:eastAsia="zh-CN"/>
        </w:rPr>
        <w:t>二、</w:t>
      </w:r>
      <w:r>
        <w:rPr>
          <w:rFonts w:hint="eastAsia" w:ascii="宋体" w:hAnsi="宋体" w:eastAsia="宋体" w:cs="宋体"/>
          <w:b/>
          <w:bCs/>
          <w:color w:val="000000"/>
          <w:sz w:val="21"/>
          <w:szCs w:val="21"/>
          <w:highlight w:val="none"/>
        </w:rPr>
        <w:t>履约保证金</w:t>
      </w:r>
    </w:p>
    <w:p w14:paraId="41261508">
      <w:pPr>
        <w:ind w:right="-481" w:rightChars="-229" w:firstLine="420" w:firstLineChars="200"/>
        <w:jc w:val="left"/>
        <w:rPr>
          <w:rFonts w:hint="eastAsia" w:ascii="宋体" w:hAnsi="宋体" w:eastAsia="宋体" w:cs="宋体"/>
          <w:color w:val="000000"/>
          <w:kern w:val="0"/>
          <w:sz w:val="21"/>
          <w:szCs w:val="21"/>
          <w:highlight w:val="none"/>
        </w:rPr>
      </w:pPr>
      <w:bookmarkStart w:id="5" w:name="_Hlk155179537"/>
      <w:r>
        <w:rPr>
          <w:rFonts w:hint="eastAsia" w:ascii="宋体" w:hAnsi="宋体" w:eastAsia="宋体" w:cs="宋体"/>
          <w:color w:val="000000"/>
          <w:sz w:val="21"/>
          <w:szCs w:val="21"/>
          <w:highlight w:val="none"/>
        </w:rPr>
        <w:t>（一）</w:t>
      </w:r>
      <w:bookmarkStart w:id="6" w:name="OLE_LINK2"/>
      <w:r>
        <w:rPr>
          <w:rFonts w:hint="eastAsia" w:ascii="宋体" w:hAnsi="宋体" w:eastAsia="宋体" w:cs="宋体"/>
          <w:color w:val="000000"/>
          <w:sz w:val="21"/>
          <w:szCs w:val="21"/>
          <w:highlight w:val="none"/>
        </w:rPr>
        <w:t>履约保证金</w:t>
      </w:r>
      <w:r>
        <w:rPr>
          <w:rFonts w:hint="eastAsia" w:ascii="宋体" w:hAnsi="宋体" w:eastAsia="宋体" w:cs="宋体"/>
          <w:color w:val="000000"/>
          <w:kern w:val="0"/>
          <w:sz w:val="21"/>
          <w:szCs w:val="21"/>
          <w:highlight w:val="none"/>
        </w:rPr>
        <w:t>为合同首年租金的50%（以元为单位向上取整）</w:t>
      </w:r>
      <w:bookmarkEnd w:id="6"/>
      <w:r>
        <w:rPr>
          <w:rFonts w:hint="eastAsia" w:ascii="宋体" w:hAnsi="宋体" w:eastAsia="宋体" w:cs="宋体"/>
          <w:color w:val="000000"/>
          <w:kern w:val="0"/>
          <w:sz w:val="21"/>
          <w:szCs w:val="21"/>
          <w:highlight w:val="none"/>
        </w:rPr>
        <w:t>，承租人应在合同签订之前将履约保证金提交至出租人指定账户。</w:t>
      </w:r>
    </w:p>
    <w:p w14:paraId="66529DB3">
      <w:pPr>
        <w:ind w:right="-481" w:rightChars="-229" w:firstLine="420" w:firstLineChars="200"/>
        <w:jc w:val="left"/>
        <w:rPr>
          <w:rFonts w:hint="eastAsia" w:ascii="宋体" w:hAnsi="宋体" w:eastAsia="宋体" w:cs="宋体"/>
          <w:color w:val="000000"/>
          <w:kern w:val="0"/>
          <w:sz w:val="21"/>
          <w:szCs w:val="21"/>
          <w:highlight w:val="none"/>
        </w:rPr>
      </w:pPr>
      <w:r>
        <w:rPr>
          <w:rFonts w:hint="eastAsia" w:ascii="宋体" w:hAnsi="宋体" w:eastAsia="宋体" w:cs="宋体"/>
          <w:color w:val="000000"/>
          <w:kern w:val="0"/>
          <w:sz w:val="21"/>
          <w:szCs w:val="21"/>
          <w:highlight w:val="none"/>
        </w:rPr>
        <w:t>（二）待承租人、出租人双方履行完约定的合同义务或合同解除15个工作日后，在承租人无违约且按合同规定缴清所有费用的前提下，出租人在租赁期满后如数退还履约保证金，但不支付利息。</w:t>
      </w:r>
    </w:p>
    <w:p w14:paraId="52197BB2">
      <w:pPr>
        <w:ind w:right="42" w:rightChars="20" w:firstLine="420" w:firstLineChars="200"/>
        <w:jc w:val="left"/>
        <w:rPr>
          <w:rFonts w:hint="eastAsia" w:ascii="宋体" w:hAnsi="宋体" w:eastAsia="宋体" w:cs="宋体"/>
          <w:color w:val="000000"/>
          <w:kern w:val="0"/>
          <w:sz w:val="21"/>
          <w:szCs w:val="21"/>
          <w:highlight w:val="none"/>
        </w:rPr>
      </w:pPr>
      <w:r>
        <w:rPr>
          <w:rFonts w:hint="eastAsia" w:ascii="宋体" w:hAnsi="宋体" w:eastAsia="宋体" w:cs="宋体"/>
          <w:color w:val="000000"/>
          <w:kern w:val="0"/>
          <w:sz w:val="21"/>
          <w:szCs w:val="21"/>
          <w:highlight w:val="none"/>
        </w:rPr>
        <w:t>（三）如交易机构在确定承租人之日起1个月内承租人未缴纳履约保证金或确定承租人之日起2个月内承租人缴纳了履约保证金但未与出租人签订租赁合同，出租人有权在扣除交易服务费后收取交易保证金剩余部分作为补偿，履约保证金不予退还，且取消本次交易，出租人不承担任何责任。</w:t>
      </w:r>
    </w:p>
    <w:p w14:paraId="0B0BB43B">
      <w:pPr>
        <w:spacing w:line="360" w:lineRule="auto"/>
        <w:ind w:right="42" w:rightChars="20" w:firstLine="420" w:firstLineChars="200"/>
        <w:jc w:val="left"/>
        <w:rPr>
          <w:rFonts w:hint="eastAsia" w:ascii="宋体" w:hAnsi="宋体" w:eastAsia="宋体" w:cs="宋体"/>
          <w:color w:val="000000"/>
          <w:kern w:val="0"/>
          <w:sz w:val="21"/>
          <w:szCs w:val="21"/>
          <w:highlight w:val="none"/>
        </w:rPr>
      </w:pPr>
      <w:r>
        <w:rPr>
          <w:rFonts w:hint="eastAsia" w:ascii="宋体" w:hAnsi="宋体" w:eastAsia="宋体" w:cs="宋体"/>
          <w:color w:val="000000"/>
          <w:kern w:val="0"/>
          <w:sz w:val="21"/>
          <w:szCs w:val="21"/>
          <w:highlight w:val="none"/>
        </w:rPr>
        <w:t>（四）租赁期限内，若承租人存在违约或其他损害出租人利益的行为，出租人有权从履约保证金中扣除承租人应付的违约金、赔偿金、租金或损失，承租人应将不足部分和被扣除的履约保证金在扣除后30个工作日内予以补足。</w:t>
      </w:r>
    </w:p>
    <w:p w14:paraId="01692CAC">
      <w:pPr>
        <w:spacing w:line="360" w:lineRule="auto"/>
        <w:ind w:right="42" w:rightChars="20" w:firstLine="420" w:firstLineChars="200"/>
        <w:jc w:val="left"/>
        <w:rPr>
          <w:rFonts w:hint="eastAsia" w:ascii="宋体" w:hAnsi="宋体" w:eastAsia="宋体" w:cs="宋体"/>
          <w:color w:val="000000"/>
          <w:kern w:val="0"/>
          <w:sz w:val="21"/>
          <w:szCs w:val="21"/>
          <w:highlight w:val="none"/>
        </w:rPr>
      </w:pPr>
      <w:r>
        <w:rPr>
          <w:rFonts w:hint="eastAsia" w:ascii="宋体" w:hAnsi="宋体" w:eastAsia="宋体" w:cs="宋体"/>
          <w:color w:val="000000"/>
          <w:kern w:val="0"/>
          <w:sz w:val="21"/>
          <w:szCs w:val="21"/>
          <w:highlight w:val="none"/>
        </w:rPr>
        <w:t>（五）在下列条件同时满足后15个工作日内，出租人将履约保证金的余额无息退回给承租人：</w:t>
      </w:r>
    </w:p>
    <w:p w14:paraId="263F42F7">
      <w:pPr>
        <w:spacing w:line="360" w:lineRule="auto"/>
        <w:ind w:right="42" w:rightChars="20" w:firstLine="420" w:firstLineChars="200"/>
        <w:jc w:val="left"/>
        <w:rPr>
          <w:rFonts w:hint="eastAsia" w:ascii="宋体" w:hAnsi="宋体" w:eastAsia="宋体" w:cs="宋体"/>
          <w:color w:val="000000"/>
          <w:kern w:val="0"/>
          <w:sz w:val="21"/>
          <w:szCs w:val="21"/>
          <w:highlight w:val="none"/>
        </w:rPr>
      </w:pPr>
      <w:r>
        <w:rPr>
          <w:rFonts w:hint="eastAsia" w:ascii="宋体" w:hAnsi="宋体" w:eastAsia="宋体" w:cs="宋体"/>
          <w:color w:val="000000"/>
          <w:kern w:val="0"/>
          <w:sz w:val="21"/>
          <w:szCs w:val="21"/>
          <w:highlight w:val="none"/>
        </w:rPr>
        <w:t>1.租赁终止（含合同约定的租赁期限届满、非承租人违约导致的合同解除及租赁终止等）。</w:t>
      </w:r>
    </w:p>
    <w:p w14:paraId="159CEAFE">
      <w:pPr>
        <w:spacing w:line="360" w:lineRule="auto"/>
        <w:ind w:right="42" w:rightChars="20" w:firstLine="420" w:firstLineChars="200"/>
        <w:jc w:val="left"/>
        <w:rPr>
          <w:rFonts w:hint="eastAsia" w:ascii="宋体" w:hAnsi="宋体" w:eastAsia="宋体" w:cs="宋体"/>
          <w:color w:val="000000"/>
          <w:kern w:val="0"/>
          <w:sz w:val="21"/>
          <w:szCs w:val="21"/>
          <w:highlight w:val="none"/>
        </w:rPr>
      </w:pPr>
      <w:r>
        <w:rPr>
          <w:rFonts w:hint="eastAsia" w:ascii="宋体" w:hAnsi="宋体" w:eastAsia="宋体" w:cs="宋体"/>
          <w:color w:val="000000"/>
          <w:kern w:val="0"/>
          <w:sz w:val="21"/>
          <w:szCs w:val="21"/>
          <w:highlight w:val="none"/>
        </w:rPr>
        <w:t>2.承租人已付清合同约定的各项费用或出租人从履约保证金中扣除应扣费用后尚有余额。</w:t>
      </w:r>
      <w:bookmarkStart w:id="8" w:name="_GoBack"/>
      <w:bookmarkEnd w:id="8"/>
    </w:p>
    <w:p w14:paraId="29E1674D">
      <w:pPr>
        <w:spacing w:line="360" w:lineRule="auto"/>
        <w:ind w:right="42" w:rightChars="20" w:firstLine="420" w:firstLineChars="200"/>
        <w:jc w:val="left"/>
        <w:outlineLvl w:val="1"/>
        <w:rPr>
          <w:rFonts w:hint="eastAsia" w:ascii="宋体" w:hAnsi="宋体" w:eastAsia="宋体" w:cs="宋体"/>
          <w:color w:val="000000"/>
          <w:kern w:val="0"/>
          <w:sz w:val="21"/>
          <w:szCs w:val="21"/>
          <w:highlight w:val="none"/>
        </w:rPr>
      </w:pPr>
      <w:r>
        <w:rPr>
          <w:rFonts w:hint="eastAsia" w:ascii="宋体" w:hAnsi="宋体" w:eastAsia="宋体" w:cs="宋体"/>
          <w:color w:val="000000"/>
          <w:kern w:val="0"/>
          <w:sz w:val="21"/>
          <w:szCs w:val="21"/>
          <w:highlight w:val="none"/>
        </w:rPr>
        <w:t>3.承租人已将出租标的按照返还约定交还给出租人。</w:t>
      </w:r>
    </w:p>
    <w:p w14:paraId="5452E4D9">
      <w:pPr>
        <w:ind w:right="42" w:rightChars="20" w:firstLine="420" w:firstLineChars="200"/>
        <w:jc w:val="left"/>
        <w:rPr>
          <w:rFonts w:hint="eastAsia" w:ascii="宋体" w:hAnsi="宋体" w:eastAsia="宋体" w:cs="宋体"/>
          <w:color w:val="000000"/>
          <w:sz w:val="21"/>
          <w:szCs w:val="21"/>
          <w:highlight w:val="none"/>
        </w:rPr>
      </w:pPr>
      <w:r>
        <w:rPr>
          <w:rFonts w:hint="eastAsia" w:ascii="宋体" w:hAnsi="宋体" w:eastAsia="宋体" w:cs="宋体"/>
          <w:color w:val="000000"/>
          <w:kern w:val="0"/>
          <w:sz w:val="21"/>
          <w:szCs w:val="21"/>
          <w:highlight w:val="none"/>
        </w:rPr>
        <w:t>4.承租人向出租人书面提出履约保证金返还申请（附承租人收款账户）。</w:t>
      </w:r>
    </w:p>
    <w:p w14:paraId="19E6D23A">
      <w:pPr>
        <w:autoSpaceDE w:val="0"/>
        <w:autoSpaceDN w:val="0"/>
        <w:adjustRightInd w:val="0"/>
        <w:outlineLvl w:val="0"/>
        <w:rPr>
          <w:rFonts w:hint="eastAsia" w:ascii="宋体" w:hAnsi="宋体" w:eastAsia="宋体" w:cs="宋体"/>
          <w:b/>
          <w:bCs/>
          <w:color w:val="000000"/>
          <w:sz w:val="21"/>
          <w:szCs w:val="21"/>
          <w:highlight w:val="none"/>
        </w:rPr>
      </w:pPr>
      <w:r>
        <w:rPr>
          <w:rFonts w:hint="eastAsia" w:ascii="宋体" w:hAnsi="宋体" w:eastAsia="宋体" w:cs="宋体"/>
          <w:b/>
          <w:bCs/>
          <w:color w:val="000000"/>
          <w:sz w:val="21"/>
          <w:szCs w:val="21"/>
          <w:highlight w:val="none"/>
        </w:rPr>
        <w:t>三、意向承租人资质条件</w:t>
      </w:r>
    </w:p>
    <w:p w14:paraId="1536A477">
      <w:pPr>
        <w:spacing w:line="360" w:lineRule="auto"/>
        <w:ind w:firstLine="420" w:firstLineChars="200"/>
        <w:rPr>
          <w:rFonts w:hint="eastAsia" w:ascii="宋体" w:hAnsi="宋体" w:eastAsia="宋体" w:cs="宋体"/>
          <w:color w:val="000000"/>
          <w:kern w:val="0"/>
          <w:sz w:val="21"/>
          <w:szCs w:val="21"/>
          <w:highlight w:val="none"/>
        </w:rPr>
      </w:pPr>
      <w:bookmarkStart w:id="7" w:name="OLE_LINK1"/>
      <w:r>
        <w:rPr>
          <w:rFonts w:hint="eastAsia" w:ascii="宋体" w:hAnsi="宋体" w:eastAsia="宋体" w:cs="宋体"/>
          <w:color w:val="000000"/>
          <w:kern w:val="0"/>
          <w:sz w:val="21"/>
          <w:szCs w:val="21"/>
          <w:highlight w:val="none"/>
        </w:rPr>
        <w:t>意向承租人必须是在中华人民共和国境内（不含港、澳、台）注册，具备独立法人资格的企业（执行标准：意向承租人提供有效的营业执照副本）。</w:t>
      </w:r>
    </w:p>
    <w:bookmarkEnd w:id="5"/>
    <w:bookmarkEnd w:id="7"/>
    <w:p w14:paraId="0DC1F5BA">
      <w:pPr>
        <w:outlineLvl w:val="0"/>
        <w:rPr>
          <w:rFonts w:hint="eastAsia" w:ascii="宋体" w:hAnsi="宋体" w:eastAsia="宋体" w:cs="宋体"/>
          <w:b/>
          <w:bCs/>
          <w:color w:val="000000"/>
          <w:sz w:val="21"/>
          <w:szCs w:val="21"/>
          <w:highlight w:val="none"/>
        </w:rPr>
      </w:pPr>
      <w:r>
        <w:rPr>
          <w:rFonts w:hint="eastAsia" w:ascii="宋体" w:hAnsi="宋体" w:eastAsia="宋体" w:cs="宋体"/>
          <w:b/>
          <w:bCs/>
          <w:color w:val="000000"/>
          <w:sz w:val="21"/>
          <w:szCs w:val="21"/>
          <w:highlight w:val="none"/>
        </w:rPr>
        <w:t>四、其他重要约定</w:t>
      </w:r>
    </w:p>
    <w:p w14:paraId="7BD8BC6E">
      <w:pPr>
        <w:ind w:firstLine="420" w:firstLineChars="200"/>
        <w:rPr>
          <w:rFonts w:hint="eastAsia" w:ascii="宋体" w:hAnsi="宋体" w:eastAsia="宋体" w:cs="宋体"/>
          <w:color w:val="000000"/>
          <w:kern w:val="0"/>
          <w:sz w:val="21"/>
          <w:szCs w:val="21"/>
          <w:highlight w:val="none"/>
        </w:rPr>
      </w:pPr>
      <w:r>
        <w:rPr>
          <w:rFonts w:hint="eastAsia" w:ascii="宋体" w:hAnsi="宋体" w:eastAsia="宋体" w:cs="宋体"/>
          <w:color w:val="000000"/>
          <w:kern w:val="0"/>
          <w:sz w:val="21"/>
          <w:szCs w:val="21"/>
          <w:highlight w:val="none"/>
        </w:rPr>
        <w:t>（一）承租人明确知晓租赁标的物暂未办理土地使用权证，明确知晓签订租赁合同可能存在的权属及土地用途改变等所有风险，并自愿签订租赁合同，由此产生一切后果（包括但不限于违法处罚、合同无效、解除或其他任何原因不能履行的情况）由承租人承担，承租人不得向出租人主张任何补偿或赔偿责任。</w:t>
      </w:r>
    </w:p>
    <w:p w14:paraId="1A451FC2">
      <w:pPr>
        <w:ind w:firstLine="420" w:firstLineChars="200"/>
        <w:rPr>
          <w:rFonts w:hint="eastAsia" w:ascii="宋体" w:hAnsi="宋体" w:eastAsia="宋体" w:cs="宋体"/>
          <w:color w:val="000000"/>
          <w:kern w:val="0"/>
          <w:sz w:val="21"/>
          <w:szCs w:val="21"/>
          <w:highlight w:val="none"/>
        </w:rPr>
      </w:pPr>
      <w:r>
        <w:rPr>
          <w:rFonts w:hint="eastAsia" w:ascii="宋体" w:hAnsi="宋体" w:eastAsia="宋体" w:cs="宋体"/>
          <w:color w:val="000000"/>
          <w:kern w:val="0"/>
          <w:sz w:val="21"/>
          <w:szCs w:val="21"/>
          <w:highlight w:val="none"/>
        </w:rPr>
        <w:t>（二）承租人可开展地块利用，不得对公共交通建设和安全运营造成妨碍或损害，不得进行房屋等永久性建筑的建设及其他违法违规建设，根据《贵阳市城市轨道交通条例》相关条款，承租人的经营场地（包括结构及出入口等）须在重点保护区外且退距轨行区结构边线至少5米，重点保护区内禁止开展任何建设活动，且经营场地内须预留足够的消防应急通道。</w:t>
      </w:r>
    </w:p>
    <w:p w14:paraId="50F2A1FB">
      <w:pPr>
        <w:ind w:firstLine="420" w:firstLineChars="200"/>
        <w:rPr>
          <w:rFonts w:hint="eastAsia" w:ascii="宋体" w:hAnsi="宋体" w:eastAsia="宋体" w:cs="宋体"/>
          <w:color w:val="000000"/>
          <w:kern w:val="0"/>
          <w:sz w:val="21"/>
          <w:szCs w:val="21"/>
          <w:highlight w:val="none"/>
        </w:rPr>
      </w:pPr>
      <w:r>
        <w:rPr>
          <w:rFonts w:hint="eastAsia" w:ascii="宋体" w:hAnsi="宋体" w:eastAsia="宋体" w:cs="宋体"/>
          <w:color w:val="000000"/>
          <w:kern w:val="0"/>
          <w:sz w:val="21"/>
          <w:szCs w:val="21"/>
          <w:highlight w:val="none"/>
        </w:rPr>
        <w:t>（三）承租人应委托有资质的设计、施工单位实施项目的设计和施工，项目的实施方案须经出租人书面审批后方可开展。</w:t>
      </w:r>
    </w:p>
    <w:p w14:paraId="145E470D">
      <w:pPr>
        <w:ind w:firstLine="420" w:firstLineChars="200"/>
        <w:rPr>
          <w:rFonts w:hint="eastAsia" w:ascii="宋体" w:hAnsi="宋体" w:eastAsia="宋体" w:cs="宋体"/>
          <w:color w:val="000000"/>
          <w:kern w:val="0"/>
          <w:sz w:val="21"/>
          <w:szCs w:val="21"/>
          <w:highlight w:val="none"/>
        </w:rPr>
      </w:pPr>
      <w:r>
        <w:rPr>
          <w:rFonts w:hint="eastAsia" w:ascii="宋体" w:hAnsi="宋体" w:eastAsia="宋体" w:cs="宋体"/>
          <w:color w:val="000000"/>
          <w:kern w:val="0"/>
          <w:sz w:val="21"/>
          <w:szCs w:val="21"/>
          <w:highlight w:val="none"/>
        </w:rPr>
        <w:t>（四）项目相关实施及办理手续的费用由承租人自行承担，承租人须做好租赁标的物内相关设施设备的日常维护工作。</w:t>
      </w:r>
    </w:p>
    <w:p w14:paraId="122C98AD">
      <w:pPr>
        <w:ind w:firstLine="420" w:firstLineChars="200"/>
        <w:outlineLvl w:val="1"/>
        <w:rPr>
          <w:rFonts w:hint="eastAsia" w:ascii="宋体" w:hAnsi="宋体" w:eastAsia="宋体" w:cs="宋体"/>
          <w:color w:val="000000"/>
          <w:kern w:val="0"/>
          <w:sz w:val="21"/>
          <w:szCs w:val="21"/>
          <w:highlight w:val="none"/>
        </w:rPr>
      </w:pPr>
      <w:r>
        <w:rPr>
          <w:rFonts w:hint="eastAsia" w:ascii="宋体" w:hAnsi="宋体" w:eastAsia="宋体" w:cs="宋体"/>
          <w:color w:val="000000"/>
          <w:kern w:val="0"/>
          <w:sz w:val="21"/>
          <w:szCs w:val="21"/>
          <w:highlight w:val="none"/>
        </w:rPr>
        <w:t>（五）承租人自行办理公安、消防、应急、环保、生态等相关手续。</w:t>
      </w:r>
    </w:p>
    <w:p w14:paraId="1659184E">
      <w:pPr>
        <w:ind w:firstLine="420" w:firstLineChars="200"/>
        <w:rPr>
          <w:rFonts w:hint="eastAsia" w:ascii="宋体" w:hAnsi="宋体" w:eastAsia="宋体" w:cs="宋体"/>
          <w:color w:val="000000"/>
          <w:kern w:val="0"/>
          <w:sz w:val="21"/>
          <w:szCs w:val="21"/>
          <w:highlight w:val="none"/>
        </w:rPr>
      </w:pPr>
      <w:r>
        <w:rPr>
          <w:rFonts w:hint="eastAsia" w:ascii="宋体" w:hAnsi="宋体" w:eastAsia="宋体" w:cs="宋体"/>
          <w:color w:val="000000"/>
          <w:kern w:val="0"/>
          <w:sz w:val="21"/>
          <w:szCs w:val="21"/>
          <w:highlight w:val="none"/>
        </w:rPr>
        <w:t>（六）承租人在承租租赁标的物后的所有相应手续由承租人全权负责，因承租人经营、管理、建设导致的一切后果由承租人自行承担，概与出租人无关；若由此给出租人造成损失的，还应赔偿出租人的损失。</w:t>
      </w:r>
    </w:p>
    <w:p w14:paraId="1CBCDC1C">
      <w:pPr>
        <w:ind w:firstLine="420" w:firstLineChars="200"/>
        <w:rPr>
          <w:rFonts w:hint="eastAsia" w:ascii="宋体" w:hAnsi="宋体" w:eastAsia="宋体" w:cs="宋体"/>
          <w:color w:val="000000"/>
          <w:kern w:val="0"/>
          <w:sz w:val="21"/>
          <w:szCs w:val="21"/>
          <w:highlight w:val="none"/>
        </w:rPr>
      </w:pPr>
      <w:r>
        <w:rPr>
          <w:rFonts w:hint="eastAsia" w:ascii="宋体" w:hAnsi="宋体" w:eastAsia="宋体" w:cs="宋体"/>
          <w:color w:val="000000"/>
          <w:kern w:val="0"/>
          <w:sz w:val="21"/>
          <w:szCs w:val="21"/>
          <w:highlight w:val="none"/>
        </w:rPr>
        <w:t>（七）承租人自行负责解决水、电接入等，如需出租人协调的，出租人提供必要协助。自交付日起产生的水电费及其他相关费用由承租人自行向有关部门缴纳。</w:t>
      </w:r>
    </w:p>
    <w:p w14:paraId="6C1297BA">
      <w:pPr>
        <w:pStyle w:val="4"/>
        <w:ind w:firstLineChars="200"/>
        <w:rPr>
          <w:rFonts w:hint="eastAsia" w:ascii="宋体" w:hAnsi="宋体" w:eastAsia="宋体" w:cs="宋体"/>
          <w:color w:val="000000"/>
          <w:kern w:val="0"/>
          <w:sz w:val="21"/>
          <w:szCs w:val="21"/>
          <w:highlight w:val="none"/>
        </w:rPr>
      </w:pPr>
      <w:r>
        <w:rPr>
          <w:rFonts w:hint="eastAsia" w:ascii="宋体" w:hAnsi="宋体" w:eastAsia="宋体" w:cs="宋体"/>
          <w:color w:val="000000"/>
          <w:kern w:val="0"/>
          <w:sz w:val="21"/>
          <w:szCs w:val="21"/>
          <w:highlight w:val="none"/>
        </w:rPr>
        <w:t>（八）最终面积以附件1上载明的面积为准（双方有异议时，以异议方委托的、双方均认可的具有相关资质的第三方测绘单位实测数据为准</w:t>
      </w:r>
      <w:r>
        <w:rPr>
          <w:rFonts w:hint="eastAsia" w:ascii="宋体" w:hAnsi="宋体" w:eastAsia="宋体" w:cs="宋体"/>
          <w:color w:val="000000"/>
          <w:kern w:val="0"/>
          <w:sz w:val="21"/>
          <w:szCs w:val="21"/>
          <w:highlight w:val="none"/>
          <w:lang w:eastAsia="zh-CN"/>
        </w:rPr>
        <w:t>）</w:t>
      </w:r>
      <w:r>
        <w:rPr>
          <w:rFonts w:hint="eastAsia" w:ascii="宋体" w:hAnsi="宋体" w:eastAsia="宋体" w:cs="宋体"/>
          <w:color w:val="000000"/>
          <w:kern w:val="0"/>
          <w:sz w:val="21"/>
          <w:szCs w:val="21"/>
          <w:highlight w:val="none"/>
        </w:rPr>
        <w:t>并办理相关移交手续。</w:t>
      </w:r>
    </w:p>
    <w:p w14:paraId="67F7B2F3">
      <w:pPr>
        <w:ind w:right="42" w:rightChars="20" w:firstLine="420" w:firstLineChars="200"/>
        <w:rPr>
          <w:rFonts w:hint="eastAsia" w:ascii="宋体" w:hAnsi="宋体" w:eastAsia="宋体" w:cs="宋体"/>
          <w:color w:val="000000"/>
          <w:kern w:val="0"/>
          <w:sz w:val="21"/>
          <w:szCs w:val="21"/>
          <w:highlight w:val="none"/>
        </w:rPr>
      </w:pPr>
      <w:r>
        <w:rPr>
          <w:rFonts w:hint="eastAsia" w:ascii="宋体" w:hAnsi="宋体" w:eastAsia="宋体" w:cs="宋体"/>
          <w:color w:val="000000"/>
          <w:kern w:val="0"/>
          <w:sz w:val="21"/>
          <w:szCs w:val="21"/>
          <w:highlight w:val="none"/>
        </w:rPr>
        <w:t>（九）如因市政规划建设、公共交通建设、运营、物业开发需要及其他不可抗力等原因需要增加、减少租赁面积，或者拆除承租人所有建（构）筑物，出租人有权决定使用分配方案，承租人须无条件接受，租金按租赁面积增减的相应比例调整收取。</w:t>
      </w:r>
    </w:p>
    <w:p w14:paraId="4D78C258">
      <w:pPr>
        <w:ind w:right="42" w:rightChars="20" w:firstLine="420" w:firstLineChars="200"/>
        <w:rPr>
          <w:rFonts w:hint="eastAsia" w:ascii="宋体" w:hAnsi="宋体" w:eastAsia="宋体" w:cs="宋体"/>
          <w:color w:val="000000"/>
          <w:kern w:val="0"/>
          <w:sz w:val="21"/>
          <w:szCs w:val="21"/>
          <w:highlight w:val="none"/>
        </w:rPr>
      </w:pPr>
      <w:r>
        <w:rPr>
          <w:rFonts w:hint="eastAsia" w:ascii="宋体" w:hAnsi="宋体" w:eastAsia="宋体" w:cs="宋体"/>
          <w:color w:val="000000"/>
          <w:kern w:val="0"/>
          <w:sz w:val="21"/>
          <w:szCs w:val="21"/>
          <w:highlight w:val="none"/>
        </w:rPr>
        <w:t>（十）如因市政规划建设等导致租赁标的物被征收，或因法律法规等不可抗力导致承租人不得或不能经营时，承租人须在出租人发出撤场通知之日起30日（撤场最低时限，涉及高压设备）内自行负责完成租赁标的物内的清理撤场，租赁期限截止到出租人发出撤场通知之日，租金按当月实际计租天数计算，出租人退还剩余租赁期租金，双方不承担违约责任。涉及征收的，相关征收补偿须严格按照国家现行的法律法规和征收方案处理，承租人不能对征收方案的内容提出异议和要求。租赁期满后，承租人无权对征收产生的补偿事项主张权利，出租人享有所有征收补偿事项。</w:t>
      </w:r>
    </w:p>
    <w:p w14:paraId="415F5719">
      <w:pPr>
        <w:ind w:right="42" w:rightChars="20" w:firstLine="420" w:firstLineChars="200"/>
        <w:rPr>
          <w:rFonts w:hint="eastAsia" w:ascii="宋体" w:hAnsi="宋体" w:eastAsia="宋体" w:cs="宋体"/>
          <w:color w:val="000000"/>
          <w:kern w:val="0"/>
          <w:sz w:val="21"/>
          <w:szCs w:val="21"/>
          <w:highlight w:val="none"/>
        </w:rPr>
      </w:pPr>
      <w:r>
        <w:rPr>
          <w:rFonts w:hint="eastAsia" w:ascii="宋体" w:hAnsi="宋体" w:eastAsia="宋体" w:cs="宋体"/>
          <w:color w:val="000000"/>
          <w:kern w:val="0"/>
          <w:sz w:val="21"/>
          <w:szCs w:val="21"/>
          <w:highlight w:val="none"/>
        </w:rPr>
        <w:t>（十一）租赁期限内承租人不得将相关权益进行肢解、转让、转包、分包、赠予、抵押、质押等任何方式处置给任何第三方；不得将租赁标的物进行担保、抵押等融资活动。</w:t>
      </w:r>
    </w:p>
    <w:p w14:paraId="72695EB8">
      <w:pPr>
        <w:ind w:right="48" w:rightChars="23" w:firstLine="420" w:firstLineChars="200"/>
        <w:rPr>
          <w:rFonts w:hint="eastAsia" w:ascii="宋体" w:hAnsi="宋体" w:eastAsia="宋体" w:cs="宋体"/>
          <w:color w:val="000000"/>
          <w:kern w:val="0"/>
          <w:sz w:val="21"/>
          <w:szCs w:val="21"/>
          <w:highlight w:val="none"/>
        </w:rPr>
      </w:pPr>
      <w:r>
        <w:rPr>
          <w:rFonts w:hint="eastAsia" w:ascii="宋体" w:hAnsi="宋体" w:eastAsia="宋体" w:cs="宋体"/>
          <w:color w:val="000000"/>
          <w:kern w:val="0"/>
          <w:sz w:val="21"/>
          <w:szCs w:val="21"/>
          <w:highlight w:val="none"/>
        </w:rPr>
        <w:t>（十二）承租人经营业态不得涉及易燃易爆、油烟、刺激性气味等涉危经营项目，不得影响公共交通日常的安全运行、不得影响周边居民日常生活、不得用作政府部门禁止的其他用途。</w:t>
      </w:r>
    </w:p>
    <w:p w14:paraId="6663E202">
      <w:pPr>
        <w:ind w:right="48" w:rightChars="23" w:firstLine="420" w:firstLineChars="200"/>
        <w:rPr>
          <w:rFonts w:hint="eastAsia" w:ascii="宋体" w:hAnsi="宋体" w:eastAsia="宋体" w:cs="宋体"/>
          <w:color w:val="000000"/>
          <w:kern w:val="0"/>
          <w:sz w:val="21"/>
          <w:szCs w:val="21"/>
          <w:highlight w:val="none"/>
        </w:rPr>
      </w:pPr>
      <w:r>
        <w:rPr>
          <w:rFonts w:hint="eastAsia" w:ascii="宋体" w:hAnsi="宋体" w:eastAsia="宋体" w:cs="宋体"/>
          <w:color w:val="000000"/>
          <w:kern w:val="0"/>
          <w:sz w:val="21"/>
          <w:szCs w:val="21"/>
          <w:highlight w:val="none"/>
        </w:rPr>
        <w:t>（十三）鉴于不可利用地块（如有）因周边地理环境等因素，无法用于开发经营。为了地块进行统一管理，承租人须做好租赁标的物内的治安、安全、消防、卫生、生态等管理工作，杜绝安全隐患及事故发生，不得影响公共交通运营安全。</w:t>
      </w:r>
    </w:p>
    <w:p w14:paraId="73C50721">
      <w:pPr>
        <w:ind w:right="48" w:rightChars="23" w:firstLine="420" w:firstLineChars="200"/>
        <w:rPr>
          <w:rFonts w:hint="eastAsia" w:ascii="宋体" w:hAnsi="宋体" w:eastAsia="宋体" w:cs="宋体"/>
          <w:color w:val="000000"/>
          <w:kern w:val="0"/>
          <w:sz w:val="21"/>
          <w:szCs w:val="21"/>
          <w:highlight w:val="none"/>
        </w:rPr>
      </w:pPr>
      <w:r>
        <w:rPr>
          <w:rFonts w:hint="eastAsia" w:ascii="宋体" w:hAnsi="宋体" w:eastAsia="宋体" w:cs="宋体"/>
          <w:color w:val="000000"/>
          <w:kern w:val="0"/>
          <w:sz w:val="21"/>
          <w:szCs w:val="21"/>
          <w:highlight w:val="none"/>
        </w:rPr>
        <w:t>（十四）承租人修建临时建（构）筑物，临时性工棚、构架必须牢固，防止脱离侵入地铁限界；严禁产生影响地铁运营的噪声、有毒气体、刺激性气体、有害垃圾；</w:t>
      </w:r>
    </w:p>
    <w:p w14:paraId="0D1F0D27">
      <w:pPr>
        <w:ind w:right="48" w:rightChars="23" w:firstLine="420" w:firstLineChars="200"/>
        <w:rPr>
          <w:rFonts w:hint="eastAsia" w:ascii="宋体" w:hAnsi="宋体" w:eastAsia="宋体" w:cs="宋体"/>
          <w:color w:val="000000"/>
          <w:kern w:val="0"/>
          <w:sz w:val="21"/>
          <w:szCs w:val="21"/>
          <w:highlight w:val="none"/>
        </w:rPr>
      </w:pPr>
      <w:r>
        <w:rPr>
          <w:rFonts w:hint="eastAsia" w:ascii="宋体" w:hAnsi="宋体" w:eastAsia="宋体" w:cs="宋体"/>
          <w:color w:val="000000"/>
          <w:kern w:val="0"/>
          <w:sz w:val="21"/>
          <w:szCs w:val="21"/>
          <w:highlight w:val="none"/>
        </w:rPr>
        <w:t>（十五）租用地距离地铁围蔽设施必须保留与市政道路接驳的地铁应急通道，应急通道标准须满足防火间距和消防要求。</w:t>
      </w:r>
    </w:p>
    <w:p w14:paraId="69C953E2">
      <w:pPr>
        <w:ind w:firstLine="359" w:firstLineChars="171"/>
        <w:rPr>
          <w:rFonts w:hint="eastAsia" w:ascii="宋体" w:hAnsi="宋体" w:eastAsia="宋体" w:cs="宋体"/>
          <w:color w:val="000000"/>
          <w:kern w:val="0"/>
          <w:sz w:val="21"/>
          <w:szCs w:val="21"/>
          <w:highlight w:val="none"/>
        </w:rPr>
      </w:pPr>
      <w:r>
        <w:rPr>
          <w:rFonts w:hint="eastAsia" w:ascii="宋体" w:hAnsi="宋体" w:eastAsia="宋体" w:cs="宋体"/>
          <w:color w:val="000000"/>
          <w:kern w:val="0"/>
          <w:sz w:val="21"/>
          <w:szCs w:val="21"/>
          <w:highlight w:val="none"/>
        </w:rPr>
        <w:t>（十六）在租赁期满前20日内或本合同终止、合同解除生效后20日内，承租人应按出租人要求将租赁标的物及固定装修和所有用电、给排水、照明、通风、空调、消防等设备设施的归属权移交出租人或拆除。若拆除需将施工方案报出租人审批备案，相关拆除、清渣等由此产生的一切费用由承租人承担。</w:t>
      </w:r>
    </w:p>
    <w:p w14:paraId="276771D2">
      <w:pPr>
        <w:pStyle w:val="2"/>
        <w:ind w:left="0" w:leftChars="0" w:firstLine="0" w:firstLineChars="0"/>
        <w:outlineLvl w:val="0"/>
        <w:rPr>
          <w:rFonts w:hint="eastAsia" w:ascii="宋体" w:hAnsi="宋体" w:eastAsia="宋体" w:cs="宋体"/>
          <w:b/>
          <w:bCs/>
          <w:color w:val="000000"/>
          <w:kern w:val="0"/>
          <w:sz w:val="21"/>
          <w:szCs w:val="21"/>
          <w:highlight w:val="none"/>
        </w:rPr>
      </w:pPr>
      <w:r>
        <w:rPr>
          <w:rFonts w:hint="eastAsia" w:ascii="宋体" w:hAnsi="宋体" w:eastAsia="宋体" w:cs="宋体"/>
          <w:b/>
          <w:bCs/>
          <w:color w:val="000000"/>
          <w:kern w:val="0"/>
          <w:sz w:val="21"/>
          <w:szCs w:val="21"/>
          <w:highlight w:val="none"/>
        </w:rPr>
        <w:t>五、重要合同约定</w:t>
      </w:r>
    </w:p>
    <w:p w14:paraId="10AC61B7">
      <w:pPr>
        <w:spacing w:line="360" w:lineRule="auto"/>
        <w:ind w:right="42" w:rightChars="20" w:firstLine="420" w:firstLineChars="200"/>
        <w:jc w:val="left"/>
        <w:outlineLvl w:val="1"/>
        <w:rPr>
          <w:rFonts w:hint="eastAsia" w:ascii="宋体" w:hAnsi="宋体" w:eastAsia="宋体" w:cs="宋体"/>
          <w:color w:val="000000"/>
          <w:kern w:val="0"/>
          <w:sz w:val="21"/>
          <w:szCs w:val="21"/>
          <w:highlight w:val="none"/>
        </w:rPr>
      </w:pPr>
      <w:r>
        <w:rPr>
          <w:rFonts w:hint="eastAsia" w:ascii="宋体" w:hAnsi="宋体" w:eastAsia="宋体" w:cs="宋体"/>
          <w:color w:val="000000"/>
          <w:kern w:val="0"/>
          <w:sz w:val="21"/>
          <w:szCs w:val="21"/>
          <w:highlight w:val="none"/>
        </w:rPr>
        <w:t>（一）违约责任</w:t>
      </w:r>
    </w:p>
    <w:p w14:paraId="5AE1E70F">
      <w:pPr>
        <w:spacing w:line="360" w:lineRule="auto"/>
        <w:ind w:right="42" w:rightChars="20" w:firstLine="420" w:firstLineChars="200"/>
        <w:jc w:val="left"/>
        <w:rPr>
          <w:rFonts w:hint="eastAsia" w:ascii="宋体" w:hAnsi="宋体" w:eastAsia="宋体" w:cs="宋体"/>
          <w:color w:val="000000"/>
          <w:kern w:val="0"/>
          <w:sz w:val="21"/>
          <w:szCs w:val="21"/>
          <w:highlight w:val="none"/>
        </w:rPr>
      </w:pPr>
      <w:r>
        <w:rPr>
          <w:rFonts w:hint="eastAsia" w:ascii="宋体" w:hAnsi="宋体" w:eastAsia="宋体" w:cs="宋体"/>
          <w:color w:val="000000"/>
          <w:kern w:val="0"/>
          <w:sz w:val="21"/>
          <w:szCs w:val="21"/>
          <w:highlight w:val="none"/>
        </w:rPr>
        <w:t>出现下列情形之一，出租人有权单方解除合同，不承担任何违约、赔偿责任且不返还承租人的履约保证金，并享有追究承租人承担相应经济损失的权利：</w:t>
      </w:r>
    </w:p>
    <w:p w14:paraId="5EF97249">
      <w:pPr>
        <w:spacing w:line="360" w:lineRule="auto"/>
        <w:ind w:right="42" w:rightChars="20" w:firstLine="420" w:firstLineChars="200"/>
        <w:jc w:val="left"/>
        <w:outlineLvl w:val="2"/>
        <w:rPr>
          <w:rFonts w:hint="eastAsia" w:ascii="宋体" w:hAnsi="宋体" w:eastAsia="宋体" w:cs="宋体"/>
          <w:color w:val="000000"/>
          <w:kern w:val="0"/>
          <w:sz w:val="21"/>
          <w:szCs w:val="21"/>
          <w:highlight w:val="none"/>
        </w:rPr>
      </w:pPr>
      <w:r>
        <w:rPr>
          <w:rFonts w:hint="eastAsia" w:ascii="宋体" w:hAnsi="宋体" w:eastAsia="宋体" w:cs="宋体"/>
          <w:color w:val="000000"/>
          <w:kern w:val="0"/>
          <w:sz w:val="21"/>
          <w:szCs w:val="21"/>
          <w:highlight w:val="none"/>
        </w:rPr>
        <w:t xml:space="preserve">1.合同尚未到期，承租人单方解除或提前终止合同的。 </w:t>
      </w:r>
    </w:p>
    <w:p w14:paraId="6831261B">
      <w:pPr>
        <w:spacing w:line="360" w:lineRule="auto"/>
        <w:ind w:right="42" w:rightChars="20" w:firstLine="420" w:firstLineChars="200"/>
        <w:jc w:val="left"/>
        <w:rPr>
          <w:rFonts w:hint="eastAsia" w:ascii="宋体" w:hAnsi="宋体" w:eastAsia="宋体" w:cs="宋体"/>
          <w:color w:val="000000"/>
          <w:kern w:val="0"/>
          <w:sz w:val="21"/>
          <w:szCs w:val="21"/>
          <w:highlight w:val="none"/>
        </w:rPr>
      </w:pPr>
      <w:r>
        <w:rPr>
          <w:rFonts w:hint="eastAsia" w:ascii="宋体" w:hAnsi="宋体" w:eastAsia="宋体" w:cs="宋体"/>
          <w:color w:val="000000"/>
          <w:kern w:val="0"/>
          <w:sz w:val="21"/>
          <w:szCs w:val="21"/>
          <w:highlight w:val="none"/>
        </w:rPr>
        <w:t>2.承租人因严重违反国家有关法律、法规、政策，而被国家行政机关查封或关闭。</w:t>
      </w:r>
    </w:p>
    <w:p w14:paraId="293D7823">
      <w:pPr>
        <w:spacing w:line="360" w:lineRule="auto"/>
        <w:ind w:right="42" w:rightChars="20" w:firstLine="420" w:firstLineChars="200"/>
        <w:jc w:val="left"/>
        <w:rPr>
          <w:rFonts w:hint="eastAsia" w:ascii="宋体" w:hAnsi="宋体" w:eastAsia="宋体" w:cs="宋体"/>
          <w:color w:val="000000"/>
          <w:kern w:val="0"/>
          <w:sz w:val="21"/>
          <w:szCs w:val="21"/>
          <w:highlight w:val="none"/>
        </w:rPr>
      </w:pPr>
      <w:r>
        <w:rPr>
          <w:rFonts w:hint="eastAsia" w:ascii="宋体" w:hAnsi="宋体" w:eastAsia="宋体" w:cs="宋体"/>
          <w:color w:val="000000"/>
          <w:kern w:val="0"/>
          <w:sz w:val="21"/>
          <w:szCs w:val="21"/>
          <w:highlight w:val="none"/>
        </w:rPr>
        <w:t>3.承租人在地块管理过程中存在严重安全隐患且长期不按照出租人要求及时高效整改的。</w:t>
      </w:r>
    </w:p>
    <w:p w14:paraId="3C0C8E2B">
      <w:pPr>
        <w:spacing w:line="360" w:lineRule="auto"/>
        <w:ind w:right="42" w:rightChars="20" w:firstLine="420" w:firstLineChars="200"/>
        <w:jc w:val="left"/>
        <w:rPr>
          <w:rFonts w:hint="eastAsia" w:ascii="宋体" w:hAnsi="宋体" w:eastAsia="宋体" w:cs="宋体"/>
          <w:color w:val="000000"/>
          <w:kern w:val="0"/>
          <w:sz w:val="21"/>
          <w:szCs w:val="21"/>
          <w:highlight w:val="none"/>
        </w:rPr>
      </w:pPr>
      <w:r>
        <w:rPr>
          <w:rFonts w:hint="eastAsia" w:ascii="宋体" w:hAnsi="宋体" w:eastAsia="宋体" w:cs="宋体"/>
          <w:color w:val="000000"/>
          <w:kern w:val="0"/>
          <w:sz w:val="21"/>
          <w:szCs w:val="21"/>
          <w:highlight w:val="none"/>
        </w:rPr>
        <w:t>4.承租人的经营管理行为给轨道交通运营、维保、抢险等工作造成严重妨碍且不积极配合的。</w:t>
      </w:r>
    </w:p>
    <w:p w14:paraId="44FF76DB">
      <w:pPr>
        <w:spacing w:line="360" w:lineRule="auto"/>
        <w:ind w:right="42" w:rightChars="20" w:firstLine="420" w:firstLineChars="200"/>
        <w:jc w:val="left"/>
        <w:rPr>
          <w:rFonts w:hint="eastAsia" w:ascii="宋体" w:hAnsi="宋体" w:eastAsia="宋体" w:cs="宋体"/>
          <w:color w:val="000000"/>
          <w:kern w:val="0"/>
          <w:sz w:val="21"/>
          <w:szCs w:val="21"/>
          <w:highlight w:val="none"/>
        </w:rPr>
      </w:pPr>
      <w:r>
        <w:rPr>
          <w:rFonts w:hint="eastAsia" w:ascii="宋体" w:hAnsi="宋体" w:eastAsia="宋体" w:cs="宋体"/>
          <w:color w:val="000000"/>
          <w:kern w:val="0"/>
          <w:sz w:val="21"/>
          <w:szCs w:val="21"/>
          <w:highlight w:val="none"/>
        </w:rPr>
        <w:t>5.在签署和履行合同过程中隐瞒可能影响合同履行的任何信息，向出租人提供虚假的资料或信息被查实的。</w:t>
      </w:r>
    </w:p>
    <w:p w14:paraId="6EF04D56">
      <w:pPr>
        <w:spacing w:line="360" w:lineRule="auto"/>
        <w:ind w:right="42" w:rightChars="20" w:firstLine="420" w:firstLineChars="200"/>
        <w:jc w:val="left"/>
        <w:rPr>
          <w:rFonts w:hint="eastAsia" w:ascii="宋体" w:hAnsi="宋体" w:eastAsia="宋体" w:cs="宋体"/>
          <w:color w:val="000000"/>
          <w:kern w:val="0"/>
          <w:sz w:val="21"/>
          <w:szCs w:val="21"/>
          <w:highlight w:val="none"/>
        </w:rPr>
      </w:pPr>
      <w:r>
        <w:rPr>
          <w:rFonts w:hint="eastAsia" w:ascii="宋体" w:hAnsi="宋体" w:eastAsia="宋体" w:cs="宋体"/>
          <w:color w:val="000000"/>
          <w:kern w:val="0"/>
          <w:sz w:val="21"/>
          <w:szCs w:val="21"/>
          <w:highlight w:val="none"/>
        </w:rPr>
        <w:t>6.承租人在租赁期间严重违反租赁合同条款造成租赁合同主要目的无法实现的。</w:t>
      </w:r>
    </w:p>
    <w:p w14:paraId="6C9B6489">
      <w:pPr>
        <w:spacing w:line="360" w:lineRule="auto"/>
        <w:ind w:right="42" w:rightChars="20" w:firstLine="420" w:firstLineChars="200"/>
        <w:jc w:val="left"/>
        <w:outlineLvl w:val="2"/>
        <w:rPr>
          <w:rFonts w:hint="eastAsia" w:ascii="宋体" w:hAnsi="宋体" w:eastAsia="宋体" w:cs="宋体"/>
          <w:color w:val="000000"/>
          <w:kern w:val="0"/>
          <w:sz w:val="21"/>
          <w:szCs w:val="21"/>
          <w:highlight w:val="none"/>
        </w:rPr>
      </w:pPr>
      <w:r>
        <w:rPr>
          <w:rFonts w:hint="eastAsia" w:ascii="宋体" w:hAnsi="宋体" w:eastAsia="宋体" w:cs="宋体"/>
          <w:color w:val="000000"/>
          <w:kern w:val="0"/>
          <w:sz w:val="21"/>
          <w:szCs w:val="21"/>
          <w:highlight w:val="none"/>
        </w:rPr>
        <w:t>7.承租人将出租标的进行转租或用于担保、抵押融资等的。</w:t>
      </w:r>
    </w:p>
    <w:p w14:paraId="427F2C15">
      <w:pPr>
        <w:spacing w:line="360" w:lineRule="auto"/>
        <w:ind w:right="42" w:rightChars="20" w:firstLine="420" w:firstLineChars="200"/>
        <w:jc w:val="left"/>
        <w:outlineLvl w:val="1"/>
        <w:rPr>
          <w:rFonts w:hint="eastAsia" w:ascii="宋体" w:hAnsi="宋体" w:eastAsia="宋体" w:cs="宋体"/>
          <w:color w:val="000000"/>
          <w:kern w:val="0"/>
          <w:sz w:val="21"/>
          <w:szCs w:val="21"/>
          <w:highlight w:val="none"/>
        </w:rPr>
      </w:pPr>
      <w:r>
        <w:rPr>
          <w:rFonts w:hint="eastAsia" w:ascii="宋体" w:hAnsi="宋体" w:eastAsia="宋体" w:cs="宋体"/>
          <w:color w:val="000000"/>
          <w:kern w:val="0"/>
          <w:sz w:val="21"/>
          <w:szCs w:val="21"/>
          <w:highlight w:val="none"/>
        </w:rPr>
        <w:t>（二）合同终止及解除</w:t>
      </w:r>
    </w:p>
    <w:p w14:paraId="324D68A6">
      <w:pPr>
        <w:spacing w:line="360" w:lineRule="auto"/>
        <w:ind w:right="42" w:rightChars="20" w:firstLine="420" w:firstLineChars="200"/>
        <w:jc w:val="left"/>
        <w:outlineLvl w:val="2"/>
        <w:rPr>
          <w:rFonts w:hint="eastAsia" w:ascii="宋体" w:hAnsi="宋体" w:eastAsia="宋体" w:cs="宋体"/>
          <w:color w:val="000000"/>
          <w:kern w:val="0"/>
          <w:sz w:val="21"/>
          <w:szCs w:val="21"/>
          <w:highlight w:val="none"/>
        </w:rPr>
      </w:pPr>
      <w:r>
        <w:rPr>
          <w:rFonts w:hint="eastAsia" w:ascii="宋体" w:hAnsi="宋体" w:eastAsia="宋体" w:cs="宋体"/>
          <w:color w:val="000000"/>
          <w:kern w:val="0"/>
          <w:sz w:val="21"/>
          <w:szCs w:val="21"/>
          <w:highlight w:val="none"/>
        </w:rPr>
        <w:t>1.租赁期满终止合同</w:t>
      </w:r>
    </w:p>
    <w:p w14:paraId="535052CA">
      <w:pPr>
        <w:spacing w:line="360" w:lineRule="auto"/>
        <w:ind w:right="42" w:rightChars="20" w:firstLine="420" w:firstLineChars="200"/>
        <w:jc w:val="left"/>
        <w:rPr>
          <w:rFonts w:hint="eastAsia" w:ascii="宋体" w:hAnsi="宋体" w:eastAsia="宋体" w:cs="宋体"/>
          <w:color w:val="000000"/>
          <w:kern w:val="0"/>
          <w:sz w:val="21"/>
          <w:szCs w:val="21"/>
          <w:highlight w:val="none"/>
        </w:rPr>
      </w:pPr>
      <w:r>
        <w:rPr>
          <w:rFonts w:hint="eastAsia" w:ascii="宋体" w:hAnsi="宋体" w:eastAsia="宋体" w:cs="宋体"/>
          <w:color w:val="000000"/>
          <w:kern w:val="0"/>
          <w:sz w:val="21"/>
          <w:szCs w:val="21"/>
          <w:highlight w:val="none"/>
        </w:rPr>
        <w:t>租赁期限届满，承租人将零星地块按照返还条款约定移交给出租人并退还履约保证金后，双方正常解除合同，不再另行签订解除协议。</w:t>
      </w:r>
    </w:p>
    <w:p w14:paraId="5C157ED7">
      <w:pPr>
        <w:spacing w:line="360" w:lineRule="auto"/>
        <w:ind w:right="42" w:rightChars="20" w:firstLine="420" w:firstLineChars="200"/>
        <w:jc w:val="left"/>
        <w:outlineLvl w:val="2"/>
        <w:rPr>
          <w:rFonts w:hint="eastAsia" w:ascii="宋体" w:hAnsi="宋体" w:eastAsia="宋体" w:cs="宋体"/>
          <w:color w:val="000000"/>
          <w:kern w:val="0"/>
          <w:sz w:val="21"/>
          <w:szCs w:val="21"/>
          <w:highlight w:val="none"/>
        </w:rPr>
      </w:pPr>
      <w:r>
        <w:rPr>
          <w:rFonts w:hint="eastAsia" w:ascii="宋体" w:hAnsi="宋体" w:eastAsia="宋体" w:cs="宋体"/>
          <w:color w:val="000000"/>
          <w:kern w:val="0"/>
          <w:sz w:val="21"/>
          <w:szCs w:val="21"/>
          <w:highlight w:val="none"/>
        </w:rPr>
        <w:t>2.提前终止合同</w:t>
      </w:r>
    </w:p>
    <w:p w14:paraId="7B77B6A7">
      <w:pPr>
        <w:spacing w:line="360" w:lineRule="auto"/>
        <w:ind w:right="42" w:rightChars="20" w:firstLine="420" w:firstLineChars="200"/>
        <w:jc w:val="left"/>
        <w:rPr>
          <w:rFonts w:hint="eastAsia" w:ascii="宋体" w:hAnsi="宋体" w:eastAsia="宋体" w:cs="宋体"/>
          <w:color w:val="000000"/>
          <w:kern w:val="0"/>
          <w:sz w:val="21"/>
          <w:szCs w:val="21"/>
          <w:highlight w:val="none"/>
        </w:rPr>
      </w:pPr>
      <w:r>
        <w:rPr>
          <w:rFonts w:hint="eastAsia" w:ascii="宋体" w:hAnsi="宋体" w:eastAsia="宋体" w:cs="宋体"/>
          <w:color w:val="000000"/>
          <w:kern w:val="0"/>
          <w:sz w:val="21"/>
          <w:szCs w:val="21"/>
          <w:highlight w:val="none"/>
        </w:rPr>
        <w:t>（1）</w:t>
      </w:r>
      <w:r>
        <w:rPr>
          <w:rFonts w:hint="eastAsia" w:ascii="宋体" w:hAnsi="宋体" w:eastAsia="宋体" w:cs="宋体"/>
          <w:color w:val="000000"/>
          <w:kern w:val="0"/>
          <w:sz w:val="21"/>
          <w:szCs w:val="21"/>
          <w:highlight w:val="none"/>
          <w:lang w:eastAsia="zh-CN"/>
        </w:rPr>
        <w:t>如</w:t>
      </w:r>
      <w:r>
        <w:rPr>
          <w:rFonts w:hint="eastAsia" w:ascii="宋体" w:hAnsi="宋体" w:eastAsia="宋体" w:cs="宋体"/>
          <w:color w:val="000000"/>
          <w:kern w:val="0"/>
          <w:sz w:val="21"/>
          <w:szCs w:val="21"/>
          <w:highlight w:val="none"/>
        </w:rPr>
        <w:t>承租人因自身原因提前终止合同，</w:t>
      </w:r>
      <w:r>
        <w:rPr>
          <w:rFonts w:hint="eastAsia" w:ascii="宋体" w:hAnsi="宋体" w:eastAsia="宋体" w:cs="宋体"/>
          <w:color w:val="000000"/>
          <w:kern w:val="0"/>
          <w:sz w:val="21"/>
          <w:szCs w:val="21"/>
          <w:highlight w:val="none"/>
          <w:lang w:eastAsia="zh-CN"/>
        </w:rPr>
        <w:t>应提前</w:t>
      </w:r>
      <w:r>
        <w:rPr>
          <w:rFonts w:hint="eastAsia" w:ascii="宋体" w:hAnsi="宋体" w:eastAsia="宋体" w:cs="宋体"/>
          <w:color w:val="000000"/>
          <w:kern w:val="0"/>
          <w:sz w:val="21"/>
          <w:szCs w:val="21"/>
          <w:highlight w:val="none"/>
        </w:rPr>
        <w:t>书面</w:t>
      </w:r>
      <w:r>
        <w:rPr>
          <w:rFonts w:hint="eastAsia" w:ascii="宋体" w:hAnsi="宋体" w:eastAsia="宋体" w:cs="宋体"/>
          <w:color w:val="000000"/>
          <w:kern w:val="0"/>
          <w:sz w:val="21"/>
          <w:szCs w:val="21"/>
          <w:highlight w:val="none"/>
          <w:lang w:eastAsia="zh-CN"/>
        </w:rPr>
        <w:t>通知</w:t>
      </w:r>
      <w:r>
        <w:rPr>
          <w:rFonts w:hint="eastAsia" w:ascii="宋体" w:hAnsi="宋体" w:eastAsia="宋体" w:cs="宋体"/>
          <w:color w:val="000000"/>
          <w:kern w:val="0"/>
          <w:sz w:val="21"/>
          <w:szCs w:val="21"/>
          <w:highlight w:val="none"/>
        </w:rPr>
        <w:t>出租人</w:t>
      </w:r>
      <w:r>
        <w:rPr>
          <w:rFonts w:hint="eastAsia" w:ascii="宋体" w:hAnsi="宋体" w:eastAsia="宋体" w:cs="宋体"/>
          <w:color w:val="000000"/>
          <w:kern w:val="0"/>
          <w:sz w:val="21"/>
          <w:szCs w:val="21"/>
          <w:highlight w:val="none"/>
          <w:lang w:eastAsia="zh-CN"/>
        </w:rPr>
        <w:t>并</w:t>
      </w:r>
      <w:r>
        <w:rPr>
          <w:rFonts w:hint="eastAsia" w:ascii="宋体" w:hAnsi="宋体" w:eastAsia="宋体" w:cs="宋体"/>
          <w:color w:val="000000"/>
          <w:kern w:val="0"/>
          <w:sz w:val="21"/>
          <w:szCs w:val="21"/>
          <w:highlight w:val="none"/>
        </w:rPr>
        <w:t>征得</w:t>
      </w:r>
      <w:r>
        <w:rPr>
          <w:rFonts w:hint="eastAsia" w:ascii="宋体" w:hAnsi="宋体" w:eastAsia="宋体" w:cs="宋体"/>
          <w:color w:val="000000"/>
          <w:kern w:val="0"/>
          <w:sz w:val="21"/>
          <w:szCs w:val="21"/>
          <w:highlight w:val="none"/>
          <w:lang w:eastAsia="zh-CN"/>
        </w:rPr>
        <w:t>其</w:t>
      </w:r>
      <w:r>
        <w:rPr>
          <w:rFonts w:hint="eastAsia" w:ascii="宋体" w:hAnsi="宋体" w:eastAsia="宋体" w:cs="宋体"/>
          <w:color w:val="000000"/>
          <w:kern w:val="0"/>
          <w:sz w:val="21"/>
          <w:szCs w:val="21"/>
          <w:highlight w:val="none"/>
        </w:rPr>
        <w:t>同意</w:t>
      </w:r>
      <w:r>
        <w:rPr>
          <w:rFonts w:hint="eastAsia" w:ascii="宋体" w:hAnsi="宋体" w:eastAsia="宋体" w:cs="宋体"/>
          <w:color w:val="000000"/>
          <w:kern w:val="0"/>
          <w:sz w:val="21"/>
          <w:szCs w:val="21"/>
          <w:highlight w:val="none"/>
          <w:lang w:eastAsia="zh-CN"/>
        </w:rPr>
        <w:t>。</w:t>
      </w:r>
      <w:r>
        <w:rPr>
          <w:rFonts w:hint="eastAsia" w:ascii="宋体" w:hAnsi="宋体" w:eastAsia="宋体" w:cs="宋体"/>
          <w:color w:val="000000"/>
          <w:kern w:val="0"/>
          <w:sz w:val="21"/>
          <w:szCs w:val="21"/>
          <w:highlight w:val="none"/>
        </w:rPr>
        <w:t>双方协商一致</w:t>
      </w:r>
      <w:r>
        <w:rPr>
          <w:rFonts w:hint="eastAsia" w:ascii="宋体" w:hAnsi="宋体" w:eastAsia="宋体" w:cs="宋体"/>
          <w:color w:val="000000"/>
          <w:kern w:val="0"/>
          <w:sz w:val="21"/>
          <w:szCs w:val="21"/>
          <w:highlight w:val="none"/>
          <w:lang w:eastAsia="zh-CN"/>
        </w:rPr>
        <w:t>后，承租人应</w:t>
      </w:r>
      <w:r>
        <w:rPr>
          <w:rFonts w:hint="eastAsia" w:ascii="宋体" w:hAnsi="宋体" w:eastAsia="宋体" w:cs="宋体"/>
          <w:color w:val="000000"/>
          <w:kern w:val="0"/>
          <w:sz w:val="21"/>
          <w:szCs w:val="21"/>
          <w:highlight w:val="none"/>
        </w:rPr>
        <w:t>按照返还条款的约定将零星地块移交给出租人</w:t>
      </w:r>
      <w:r>
        <w:rPr>
          <w:rFonts w:hint="eastAsia" w:ascii="宋体" w:hAnsi="宋体" w:eastAsia="宋体" w:cs="宋体"/>
          <w:color w:val="000000"/>
          <w:kern w:val="0"/>
          <w:sz w:val="21"/>
          <w:szCs w:val="21"/>
          <w:highlight w:val="none"/>
          <w:lang w:eastAsia="zh-CN"/>
        </w:rPr>
        <w:t>。在此情况下，</w:t>
      </w:r>
      <w:r>
        <w:rPr>
          <w:rFonts w:hint="eastAsia" w:ascii="宋体" w:hAnsi="宋体" w:eastAsia="宋体" w:cs="宋体"/>
          <w:color w:val="000000"/>
          <w:kern w:val="0"/>
          <w:sz w:val="21"/>
          <w:szCs w:val="21"/>
          <w:highlight w:val="none"/>
        </w:rPr>
        <w:t>承租人缴纳的剩余未使用租金</w:t>
      </w:r>
      <w:r>
        <w:rPr>
          <w:rFonts w:hint="eastAsia" w:ascii="宋体" w:hAnsi="宋体" w:eastAsia="宋体" w:cs="宋体"/>
          <w:color w:val="000000"/>
          <w:kern w:val="0"/>
          <w:sz w:val="21"/>
          <w:szCs w:val="21"/>
          <w:highlight w:val="none"/>
          <w:lang w:eastAsia="zh-CN"/>
        </w:rPr>
        <w:t>，</w:t>
      </w:r>
      <w:r>
        <w:rPr>
          <w:rFonts w:hint="eastAsia" w:ascii="宋体" w:hAnsi="宋体" w:eastAsia="宋体" w:cs="宋体"/>
          <w:color w:val="000000"/>
          <w:kern w:val="0"/>
          <w:sz w:val="21"/>
          <w:szCs w:val="21"/>
          <w:highlight w:val="none"/>
        </w:rPr>
        <w:t>在扣除相关费用（包括但不限于拆除、清理或修复产生的费用等）后</w:t>
      </w:r>
      <w:r>
        <w:rPr>
          <w:rFonts w:hint="eastAsia" w:ascii="宋体" w:hAnsi="宋体" w:eastAsia="宋体" w:cs="宋体"/>
          <w:color w:val="000000"/>
          <w:kern w:val="0"/>
          <w:sz w:val="21"/>
          <w:szCs w:val="21"/>
          <w:highlight w:val="none"/>
          <w:lang w:eastAsia="zh-CN"/>
        </w:rPr>
        <w:t>，</w:t>
      </w:r>
      <w:r>
        <w:rPr>
          <w:rFonts w:hint="eastAsia" w:ascii="宋体" w:hAnsi="宋体" w:eastAsia="宋体" w:cs="宋体"/>
          <w:color w:val="000000"/>
          <w:kern w:val="0"/>
          <w:sz w:val="21"/>
          <w:szCs w:val="21"/>
          <w:highlight w:val="none"/>
        </w:rPr>
        <w:t>将予以退还</w:t>
      </w:r>
      <w:r>
        <w:rPr>
          <w:rFonts w:hint="eastAsia" w:ascii="宋体" w:hAnsi="宋体" w:eastAsia="宋体" w:cs="宋体"/>
          <w:color w:val="000000"/>
          <w:kern w:val="0"/>
          <w:sz w:val="21"/>
          <w:szCs w:val="21"/>
          <w:highlight w:val="none"/>
          <w:lang w:eastAsia="zh-CN"/>
        </w:rPr>
        <w:t>。若</w:t>
      </w:r>
      <w:r>
        <w:rPr>
          <w:rFonts w:hint="eastAsia" w:ascii="宋体" w:hAnsi="宋体" w:eastAsia="宋体" w:cs="宋体"/>
          <w:color w:val="000000"/>
          <w:kern w:val="0"/>
          <w:sz w:val="21"/>
          <w:szCs w:val="21"/>
          <w:highlight w:val="none"/>
        </w:rPr>
        <w:t>履约保证金和未使用租金不足以抵扣相关费用，出租人有权向承租人追偿</w:t>
      </w:r>
      <w:r>
        <w:rPr>
          <w:rFonts w:hint="eastAsia" w:ascii="宋体" w:hAnsi="宋体" w:eastAsia="宋体" w:cs="宋体"/>
          <w:color w:val="000000"/>
          <w:kern w:val="0"/>
          <w:sz w:val="21"/>
          <w:szCs w:val="21"/>
          <w:highlight w:val="none"/>
          <w:lang w:eastAsia="zh-CN"/>
        </w:rPr>
        <w:t>。</w:t>
      </w:r>
    </w:p>
    <w:p w14:paraId="50BD3A78">
      <w:pPr>
        <w:spacing w:line="360" w:lineRule="auto"/>
        <w:ind w:right="42" w:rightChars="20" w:firstLine="420" w:firstLineChars="200"/>
        <w:jc w:val="left"/>
        <w:rPr>
          <w:rFonts w:hint="eastAsia" w:ascii="宋体" w:hAnsi="宋体" w:eastAsia="宋体" w:cs="宋体"/>
          <w:color w:val="000000"/>
          <w:kern w:val="0"/>
          <w:sz w:val="21"/>
          <w:szCs w:val="21"/>
          <w:highlight w:val="none"/>
        </w:rPr>
      </w:pPr>
      <w:r>
        <w:rPr>
          <w:rFonts w:hint="eastAsia" w:ascii="宋体" w:hAnsi="宋体" w:eastAsia="宋体" w:cs="宋体"/>
          <w:color w:val="000000"/>
          <w:kern w:val="0"/>
          <w:sz w:val="21"/>
          <w:szCs w:val="21"/>
          <w:highlight w:val="none"/>
        </w:rPr>
        <w:t>（2）出租人因自身的原因需提前终止租赁合同的，出租人向承租人发出书面通知，通知载明之日即为合同终止日。出租人将未使用的租金予以无息退还。承租人应积极高效配合出租人完成清撤场任务，因此给承租人产生的损失由双方另行协商处理。</w:t>
      </w:r>
    </w:p>
    <w:p w14:paraId="3A3B6245">
      <w:pPr>
        <w:spacing w:line="360" w:lineRule="auto"/>
        <w:ind w:right="42" w:rightChars="20" w:firstLine="420" w:firstLineChars="200"/>
        <w:jc w:val="left"/>
        <w:rPr>
          <w:rFonts w:hint="eastAsia" w:ascii="宋体" w:hAnsi="宋体" w:eastAsia="宋体" w:cs="宋体"/>
          <w:color w:val="000000"/>
          <w:kern w:val="0"/>
          <w:sz w:val="21"/>
          <w:szCs w:val="21"/>
          <w:highlight w:val="none"/>
        </w:rPr>
      </w:pPr>
      <w:r>
        <w:rPr>
          <w:rFonts w:hint="eastAsia" w:ascii="宋体" w:hAnsi="宋体" w:eastAsia="宋体" w:cs="宋体"/>
          <w:color w:val="000000"/>
          <w:kern w:val="0"/>
          <w:sz w:val="21"/>
          <w:szCs w:val="21"/>
          <w:highlight w:val="none"/>
        </w:rPr>
        <w:t>（3）因不可抗力因素导致零星地块不能使用或合同目的不能实现的，承出租双方均有权提出解除租赁合同，双方达成一致意见后可友好解除合同，除不退还已使用的租金外，双方互不承担违约责任。</w:t>
      </w:r>
    </w:p>
    <w:p w14:paraId="483F2B0F">
      <w:pPr>
        <w:spacing w:line="360" w:lineRule="auto"/>
        <w:ind w:right="42" w:rightChars="20" w:firstLine="420" w:firstLineChars="200"/>
        <w:jc w:val="left"/>
        <w:outlineLvl w:val="2"/>
        <w:rPr>
          <w:rFonts w:hint="eastAsia" w:ascii="宋体" w:hAnsi="宋体" w:eastAsia="宋体" w:cs="宋体"/>
          <w:color w:val="000000"/>
          <w:kern w:val="0"/>
          <w:sz w:val="21"/>
          <w:szCs w:val="21"/>
          <w:highlight w:val="none"/>
        </w:rPr>
      </w:pPr>
      <w:r>
        <w:rPr>
          <w:rFonts w:hint="eastAsia" w:ascii="宋体" w:hAnsi="宋体" w:eastAsia="宋体" w:cs="宋体"/>
          <w:color w:val="000000"/>
          <w:kern w:val="0"/>
          <w:sz w:val="21"/>
          <w:szCs w:val="21"/>
          <w:highlight w:val="none"/>
        </w:rPr>
        <w:t>3.出租标的返还</w:t>
      </w:r>
    </w:p>
    <w:p w14:paraId="303AB919">
      <w:pPr>
        <w:spacing w:line="360" w:lineRule="auto"/>
        <w:ind w:right="42" w:rightChars="20" w:firstLine="420" w:firstLineChars="200"/>
        <w:jc w:val="left"/>
        <w:rPr>
          <w:rFonts w:hint="eastAsia" w:ascii="宋体" w:hAnsi="宋体" w:eastAsia="宋体" w:cs="宋体"/>
          <w:color w:val="000000"/>
          <w:kern w:val="0"/>
          <w:sz w:val="21"/>
          <w:szCs w:val="21"/>
          <w:highlight w:val="none"/>
        </w:rPr>
      </w:pPr>
      <w:r>
        <w:rPr>
          <w:rFonts w:hint="eastAsia" w:ascii="宋体" w:hAnsi="宋体" w:eastAsia="宋体" w:cs="宋体"/>
          <w:color w:val="000000"/>
          <w:kern w:val="0"/>
          <w:sz w:val="21"/>
          <w:szCs w:val="21"/>
          <w:highlight w:val="none"/>
        </w:rPr>
        <w:t>（1）租赁合同正常履行的，租赁期最后一日为退场之日；租赁合同由双方协商一致解除的，退场之日以双方约定为准；单方解除租赁合同的，退场之日以租赁合同约定的相关退场文件载明的日期为准。</w:t>
      </w:r>
    </w:p>
    <w:p w14:paraId="53BE9452">
      <w:pPr>
        <w:spacing w:line="360" w:lineRule="auto"/>
        <w:ind w:right="42" w:rightChars="20" w:firstLine="420" w:firstLineChars="200"/>
        <w:jc w:val="left"/>
        <w:rPr>
          <w:rFonts w:hint="eastAsia" w:ascii="宋体" w:hAnsi="宋体" w:eastAsia="宋体" w:cs="宋体"/>
          <w:color w:val="000000"/>
          <w:kern w:val="0"/>
          <w:sz w:val="21"/>
          <w:szCs w:val="21"/>
          <w:highlight w:val="none"/>
        </w:rPr>
      </w:pPr>
      <w:r>
        <w:rPr>
          <w:rFonts w:hint="eastAsia" w:ascii="宋体" w:hAnsi="宋体" w:eastAsia="宋体" w:cs="宋体"/>
          <w:color w:val="000000"/>
          <w:kern w:val="0"/>
          <w:sz w:val="21"/>
          <w:szCs w:val="21"/>
          <w:highlight w:val="none"/>
        </w:rPr>
        <w:t>（2）承租人须在退场之日前完成零星地块内由其实施的设施设备拆除和垃圾清理，承租人须对其使用损坏的、由出租人实施的结构和设施设备按照不低于原标准修复后方可返还给出租人。</w:t>
      </w:r>
    </w:p>
    <w:p w14:paraId="3C3E42B7">
      <w:pPr>
        <w:spacing w:line="360" w:lineRule="auto"/>
        <w:ind w:right="42" w:rightChars="20" w:firstLine="420" w:firstLineChars="200"/>
        <w:jc w:val="left"/>
        <w:rPr>
          <w:rFonts w:hint="eastAsia" w:ascii="宋体" w:hAnsi="宋体" w:eastAsia="宋体" w:cs="宋体"/>
          <w:color w:val="000000"/>
          <w:kern w:val="0"/>
          <w:sz w:val="21"/>
          <w:szCs w:val="21"/>
          <w:highlight w:val="none"/>
        </w:rPr>
      </w:pPr>
      <w:r>
        <w:rPr>
          <w:rFonts w:hint="eastAsia" w:ascii="宋体" w:hAnsi="宋体" w:eastAsia="宋体" w:cs="宋体"/>
          <w:color w:val="000000"/>
          <w:kern w:val="0"/>
          <w:sz w:val="21"/>
          <w:szCs w:val="21"/>
          <w:highlight w:val="none"/>
        </w:rPr>
        <w:t>（3）按约定完成退场的，承出租双方对现场及设施设备进行共同检查，完善书面移交手续；承租人未按合同约定、撤场通知、或其他约定完成退场的，出租人有权对现场结构、设施设备进行拍照取证后自行开展清场工作，且不对权属于承租人的相关设施设备有任何保存、维护义务，相关处理费用由承租人承担。</w:t>
      </w:r>
    </w:p>
    <w:p w14:paraId="4912C161">
      <w:pPr>
        <w:pStyle w:val="2"/>
        <w:rPr>
          <w:rFonts w:hint="eastAsia"/>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font>
  <w:font w:name="Segoe UI Symbol">
    <w:panose1 w:val="020B0502040204020203"/>
    <w:charset w:val="00"/>
    <w:family w:val="swiss"/>
    <w:pitch w:val="default"/>
    <w:sig w:usb0="8000006F" w:usb1="1200FBEF" w:usb2="0064C000" w:usb3="00000002" w:csb0="00000001" w:csb1="40000000"/>
  </w:font>
  <w:font w:name="微软雅黑">
    <w:panose1 w:val="020B0503020204020204"/>
    <w:charset w:val="86"/>
    <w:family w:val="auto"/>
    <w:pitch w:val="default"/>
    <w:sig w:usb0="80000287" w:usb1="280F3C52" w:usb2="00000016" w:usb3="00000000" w:csb0="0004001F" w:csb1="00000000"/>
  </w:font>
  <w:font w:name="方正小标宋简体">
    <w:altName w:val="Arial Unicode MS"/>
    <w:panose1 w:val="03000509000000000000"/>
    <w:charset w:val="86"/>
    <w:family w:val="auto"/>
    <w:pitch w:val="default"/>
    <w:sig w:usb0="00000000" w:usb1="00000000" w:usb2="00000000" w:usb3="00000000" w:csb0="00040000" w:csb1="00000000"/>
  </w:font>
  <w:font w:name="Arial Unicode MS">
    <w:panose1 w:val="020B0604020202020204"/>
    <w:charset w:val="86"/>
    <w:family w:val="auto"/>
    <w:pitch w:val="default"/>
    <w:sig w:usb0="FFFFFFFF" w:usb1="E9FFFFFF" w:usb2="0000003F" w:usb3="00000000" w:csb0="603F01FF" w:csb1="FFFF0000"/>
  </w:font>
  <w:font w:name="等线">
    <w:altName w:val="Arial Unicode MS"/>
    <w:panose1 w:val="02010600030101010101"/>
    <w:charset w:val="86"/>
    <w:family w:val="auto"/>
    <w:pitch w:val="default"/>
    <w:sig w:usb0="00000000" w:usb1="00000000" w:usb2="00000016" w:usb3="00000000" w:csb0="0004000F" w:csb1="00000000"/>
  </w:font>
  <w:font w:name="等线 Light">
    <w:altName w:val="宋体"/>
    <w:panose1 w:val="02010600030101010101"/>
    <w:charset w:val="86"/>
    <w:family w:val="auto"/>
    <w:pitch w:val="default"/>
    <w:sig w:usb0="00000000" w:usb1="00000000"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TkwMzAxYzNjYWIxZDY1MGVhZTVmM2JmNTNjNGQ5MmQifQ=="/>
  </w:docVars>
  <w:rsids>
    <w:rsidRoot w:val="00000000"/>
    <w:rsid w:val="04A7678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2"/>
      <w:lang w:val="en-US" w:eastAsia="zh-CN" w:bidi="ar-SA"/>
    </w:rPr>
  </w:style>
  <w:style w:type="character" w:default="1" w:styleId="6">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Body Text First Indent 2"/>
    <w:basedOn w:val="3"/>
    <w:qFormat/>
    <w:uiPriority w:val="0"/>
    <w:pPr>
      <w:spacing w:line="360" w:lineRule="auto"/>
      <w:ind w:firstLine="420" w:firstLineChars="200"/>
    </w:pPr>
  </w:style>
  <w:style w:type="paragraph" w:styleId="3">
    <w:name w:val="Body Text Indent"/>
    <w:basedOn w:val="1"/>
    <w:qFormat/>
    <w:uiPriority w:val="0"/>
    <w:pPr>
      <w:spacing w:after="120"/>
      <w:ind w:left="420" w:leftChars="200"/>
    </w:pPr>
  </w:style>
  <w:style w:type="paragraph" w:styleId="4">
    <w:name w:val="annotation text"/>
    <w:basedOn w:val="1"/>
    <w:unhideWhenUsed/>
    <w:uiPriority w:val="0"/>
    <w:pPr>
      <w:jc w:val="left"/>
    </w:p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5</Pages>
  <Words>0</Words>
  <Characters>0</Characters>
  <Lines>0</Lines>
  <Paragraphs>0</Paragraphs>
  <TotalTime>5</TotalTime>
  <ScaleCrop>false</ScaleCrop>
  <LinksUpToDate>false</LinksUpToDate>
  <CharactersWithSpaces>0</CharactersWithSpaces>
  <Application>WPS Office_12.1.0.17857_F1E327BC-269C-435d-A152-05C5408002CA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怡~ (^.^)</cp:lastModifiedBy>
  <dcterms:modified xsi:type="dcterms:W3CDTF">2024-08-23T05:55:28Z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2052-12.1.0.17857</vt:lpwstr>
  </property>
  <property fmtid="{D5CDD505-2E9C-101B-9397-08002B2CF9AE}" pid="3" name="ICV">
    <vt:lpwstr>97D65CEBA18E4282A525FA3D2B5D309A_12</vt:lpwstr>
  </property>
</Properties>
</file>