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4A264A">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65DBD0F9">
      <w:pPr>
        <w:jc w:val="center"/>
        <w:rPr>
          <w:rFonts w:asciiTheme="minorEastAsia" w:hAnsiTheme="minorEastAsia"/>
          <w:sz w:val="24"/>
          <w:szCs w:val="24"/>
        </w:rPr>
      </w:pPr>
      <w:r>
        <w:rPr>
          <w:rFonts w:hint="eastAsia" w:asciiTheme="minorEastAsia" w:hAnsiTheme="minorEastAsia"/>
          <w:sz w:val="24"/>
          <w:szCs w:val="24"/>
        </w:rPr>
        <w:t>（债权类）</w:t>
      </w:r>
    </w:p>
    <w:p w14:paraId="7E905B8C">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42C3C85D">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6109BACB">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36B8ED07">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623DADA6">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1C5CA430">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3DF16E9C">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295CC205">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14:paraId="1EC6C78E">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2F87B176">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234A3962">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14:paraId="2D49AFD4">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211D52D0">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20693232">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0C686720">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7199A66B">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032729F7">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26A01D1B">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5760F741">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14:paraId="0CC6BA1D">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23F4AAF1">
      <w:pPr>
        <w:spacing w:line="360" w:lineRule="auto"/>
        <w:rPr>
          <w:rFonts w:hint="eastAsia" w:ascii="宋体" w:hAnsi="宋体"/>
          <w:sz w:val="24"/>
          <w:szCs w:val="24"/>
          <w:u w:val="single"/>
        </w:rPr>
      </w:pPr>
      <w:r>
        <w:rPr>
          <w:rFonts w:hint="eastAsia" w:ascii="宋体" w:hAnsi="宋体"/>
          <w:sz w:val="24"/>
          <w:szCs w:val="24"/>
        </w:rPr>
        <w:t>项目名称：中国东方资产管理股份有限公司广西壮族自治区分公司持有的重庆玺发隆智实业有限公司单户金融不良债权项目</w:t>
      </w:r>
      <w:bookmarkStart w:id="0" w:name="_GoBack"/>
      <w:bookmarkEnd w:id="0"/>
    </w:p>
    <w:p w14:paraId="7A8FF663">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14:paraId="330024F3">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66AAF5B8">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1AD2624C"/>
    <w:rsid w:val="259F2538"/>
    <w:rsid w:val="30CE7A9D"/>
    <w:rsid w:val="567F7A29"/>
    <w:rsid w:val="6C181F8F"/>
    <w:rsid w:val="6EA74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3</TotalTime>
  <ScaleCrop>false</ScaleCrop>
  <LinksUpToDate>false</LinksUpToDate>
  <CharactersWithSpaces>1696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2024-08-05T01:20:11Z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2E8DA51A91DD4F77886401C51553AA72_12</vt:lpwstr>
  </property>
</Properties>
</file>