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color w:val="4F81BD" w:themeColor="accent1"/>
          <w14:textFill>
            <w14:solidFill>
              <w14:schemeClr w14:val="accent1"/>
            </w14:solidFill>
          </w14:textFill>
        </w:rPr>
        <w:id w:val="445890120"/>
      </w:sdtPr>
      <w:sdtEndPr>
        <w:rPr>
          <w:rFonts w:ascii="仿宋_GB2312" w:hAnsi="仿宋_GB2312" w:eastAsia="仿宋_GB2312" w:cs="仿宋_GB2312"/>
          <w:b/>
          <w:color w:val="auto"/>
          <w:szCs w:val="32"/>
        </w:rPr>
      </w:sdtEndPr>
      <w:sdtContent>
        <w:p>
          <w:pPr>
            <w:adjustRightInd w:val="0"/>
            <w:snapToGrid w:val="0"/>
            <w:spacing w:line="800" w:lineRule="exact"/>
            <w:ind w:right="0" w:rightChars="0"/>
            <w:jc w:val="center"/>
            <w:rPr>
              <w:color w:val="4F81BD" w:themeColor="accent1"/>
              <w14:textFill>
                <w14:solidFill>
                  <w14:schemeClr w14:val="accent1"/>
                </w14:solidFill>
              </w14:textFill>
            </w:rPr>
          </w:pPr>
        </w:p>
        <w:p>
          <w:pPr>
            <w:adjustRightInd w:val="0"/>
            <w:snapToGrid w:val="0"/>
            <w:spacing w:line="800" w:lineRule="exact"/>
            <w:ind w:right="0" w:rightChars="0"/>
            <w:jc w:val="center"/>
            <w:rPr>
              <w:rFonts w:hint="eastAsia" w:ascii="方正小标宋简体" w:hAnsi="方正小标宋简体" w:eastAsia="方正小标宋简体"/>
              <w:color w:val="000000" w:themeColor="text1"/>
              <w:sz w:val="48"/>
              <w:szCs w:val="48"/>
              <w14:textFill>
                <w14:solidFill>
                  <w14:schemeClr w14:val="tx1"/>
                </w14:solidFill>
              </w14:textFill>
            </w:rPr>
          </w:pPr>
          <w:r>
            <w:rPr>
              <w:rFonts w:hint="eastAsia" w:ascii="方正小标宋简体" w:hAnsi="方正小标宋简体" w:eastAsia="方正小标宋简体"/>
              <w:color w:val="000000" w:themeColor="text1"/>
              <w:sz w:val="48"/>
              <w:szCs w:val="48"/>
              <w14:textFill>
                <w14:solidFill>
                  <w14:schemeClr w14:val="tx1"/>
                </w14:solidFill>
              </w14:textFill>
            </w:rPr>
            <w:t>贵阳市公共交通投资运营集团有限公司</w:t>
          </w:r>
        </w:p>
        <w:p>
          <w:pPr>
            <w:adjustRightInd w:val="0"/>
            <w:snapToGrid w:val="0"/>
            <w:spacing w:line="800" w:lineRule="exact"/>
            <w:ind w:right="0" w:rightChars="0"/>
            <w:jc w:val="center"/>
            <w:rPr>
              <w:rFonts w:hint="eastAsia" w:ascii="方正小标宋简体" w:hAnsi="方正小标宋简体" w:eastAsia="方正小标宋简体"/>
              <w:color w:val="000000" w:themeColor="text1"/>
              <w:sz w:val="48"/>
              <w:szCs w:val="48"/>
              <w14:textFill>
                <w14:solidFill>
                  <w14:schemeClr w14:val="tx1"/>
                </w14:solidFill>
              </w14:textFill>
            </w:rPr>
          </w:pPr>
          <w:r>
            <w:rPr>
              <w:rFonts w:hint="eastAsia" w:ascii="方正小标宋简体" w:hAnsi="方正小标宋简体" w:eastAsia="方正小标宋简体"/>
              <w:color w:val="000000" w:themeColor="text1"/>
              <w:sz w:val="48"/>
              <w:szCs w:val="48"/>
              <w14:textFill>
                <w14:solidFill>
                  <w14:schemeClr w14:val="tx1"/>
                </w14:solidFill>
              </w14:textFill>
            </w:rPr>
            <w:t>持有的贵州省中国旅行社有限责任公司</w:t>
          </w:r>
        </w:p>
        <w:p>
          <w:pPr>
            <w:adjustRightInd w:val="0"/>
            <w:snapToGrid w:val="0"/>
            <w:spacing w:line="800" w:lineRule="exact"/>
            <w:ind w:right="0" w:rightChars="0"/>
            <w:jc w:val="center"/>
            <w:rPr>
              <w:rFonts w:ascii="方正小标宋简体" w:hAnsi="方正小标宋简体" w:eastAsia="方正小标宋简体"/>
              <w:color w:val="000000" w:themeColor="text1"/>
              <w:sz w:val="48"/>
              <w:szCs w:val="48"/>
              <w14:textFill>
                <w14:solidFill>
                  <w14:schemeClr w14:val="tx1"/>
                </w14:solidFill>
              </w14:textFill>
            </w:rPr>
          </w:pPr>
          <w:r>
            <w:rPr>
              <w:rFonts w:hint="eastAsia" w:ascii="方正小标宋简体" w:hAnsi="方正小标宋简体" w:eastAsia="方正小标宋简体"/>
              <w:color w:val="000000" w:themeColor="text1"/>
              <w:sz w:val="48"/>
              <w:szCs w:val="48"/>
              <w14:textFill>
                <w14:solidFill>
                  <w14:schemeClr w14:val="tx1"/>
                </w14:solidFill>
              </w14:textFill>
            </w:rPr>
            <w:t>债权及附属权益整体转让协议</w:t>
          </w:r>
        </w:p>
        <w:p>
          <w:pPr>
            <w:adjustRightInd w:val="0"/>
            <w:snapToGrid w:val="0"/>
            <w:spacing w:line="800" w:lineRule="exact"/>
            <w:ind w:right="0" w:rightChars="0"/>
            <w:jc w:val="center"/>
            <w:rPr>
              <w:rFonts w:ascii="方正小标宋简体" w:hAnsi="方正小标宋简体" w:eastAsia="方正小标宋简体"/>
              <w:color w:val="000000" w:themeColor="text1"/>
              <w:sz w:val="48"/>
              <w:szCs w:val="48"/>
              <w14:textFill>
                <w14:solidFill>
                  <w14:schemeClr w14:val="tx1"/>
                </w14:solidFill>
              </w14:textFill>
            </w:rPr>
          </w:pPr>
        </w:p>
        <w:p>
          <w:pPr>
            <w:pStyle w:val="2"/>
            <w:ind w:right="316"/>
            <w:rPr>
              <w:rFonts w:ascii="方正小标宋简体" w:hAnsi="宋体" w:eastAsia="方正小标宋简体" w:cs="宋体"/>
              <w:sz w:val="48"/>
              <w:szCs w:val="48"/>
            </w:rPr>
          </w:pPr>
        </w:p>
        <w:p>
          <w:pPr>
            <w:pStyle w:val="2"/>
            <w:ind w:right="316"/>
            <w:rPr>
              <w:rFonts w:ascii="方正小标宋简体" w:hAnsi="宋体" w:eastAsia="方正小标宋简体" w:cs="宋体"/>
              <w:sz w:val="48"/>
              <w:szCs w:val="48"/>
            </w:rPr>
          </w:pPr>
        </w:p>
        <w:p>
          <w:pPr>
            <w:pStyle w:val="2"/>
            <w:ind w:right="316"/>
            <w:rPr>
              <w:rFonts w:ascii="方正小标宋简体" w:hAnsi="宋体" w:eastAsia="方正小标宋简体" w:cs="宋体"/>
              <w:sz w:val="48"/>
              <w:szCs w:val="48"/>
            </w:rPr>
          </w:pPr>
        </w:p>
        <w:p>
          <w:pPr>
            <w:pStyle w:val="2"/>
            <w:ind w:right="316"/>
            <w:rPr>
              <w:rFonts w:ascii="方正小标宋简体" w:hAnsi="宋体" w:eastAsia="方正小标宋简体" w:cs="宋体"/>
              <w:sz w:val="48"/>
              <w:szCs w:val="48"/>
            </w:rPr>
          </w:pPr>
        </w:p>
        <w:p>
          <w:pPr>
            <w:pStyle w:val="2"/>
            <w:ind w:right="316"/>
          </w:pPr>
        </w:p>
        <w:p>
          <w:pPr>
            <w:spacing w:line="1000" w:lineRule="exact"/>
            <w:ind w:right="316" w:firstLine="933" w:firstLineChars="295"/>
            <w:rPr>
              <w:rFonts w:ascii="仿宋_GB2312" w:hAnsi="仿宋_GB2312" w:eastAsia="仿宋_GB2312" w:cs="仿宋_GB2312"/>
              <w:b/>
              <w:szCs w:val="32"/>
            </w:rPr>
          </w:pPr>
          <w:r>
            <w:rPr>
              <w:rFonts w:hint="eastAsia" w:ascii="仿宋_GB2312" w:hAnsi="仿宋_GB2312" w:eastAsia="仿宋_GB2312" w:cs="仿宋_GB2312"/>
              <w:b/>
              <w:szCs w:val="32"/>
            </w:rPr>
            <w:t xml:space="preserve">甲 </w:t>
          </w:r>
          <w:r>
            <w:rPr>
              <w:rFonts w:ascii="仿宋_GB2312" w:hAnsi="仿宋_GB2312" w:eastAsia="仿宋_GB2312" w:cs="仿宋_GB2312"/>
              <w:b/>
              <w:szCs w:val="32"/>
            </w:rPr>
            <w:t xml:space="preserve">   </w:t>
          </w:r>
          <w:r>
            <w:rPr>
              <w:rFonts w:hint="eastAsia" w:ascii="仿宋_GB2312" w:hAnsi="仿宋_GB2312" w:eastAsia="仿宋_GB2312" w:cs="仿宋_GB2312"/>
              <w:b/>
              <w:szCs w:val="32"/>
            </w:rPr>
            <w:t>方：</w:t>
          </w:r>
          <w:r>
            <w:rPr>
              <w:rFonts w:hint="eastAsia" w:ascii="仿宋_GB2312" w:hAnsi="仿宋_GB2312" w:eastAsia="仿宋_GB2312" w:cs="仿宋_GB2312"/>
              <w:b/>
              <w:szCs w:val="32"/>
              <w:u w:val="single"/>
            </w:rPr>
            <w:t>贵阳市公共交通投资运营集团有限公司</w:t>
          </w:r>
        </w:p>
        <w:p>
          <w:pPr>
            <w:spacing w:line="1000" w:lineRule="exact"/>
            <w:ind w:right="316" w:firstLine="933" w:firstLineChars="295"/>
            <w:rPr>
              <w:rFonts w:ascii="仿宋_GB2312" w:hAnsi="仿宋_GB2312" w:eastAsia="仿宋_GB2312" w:cs="仿宋_GB2312"/>
              <w:b/>
              <w:szCs w:val="32"/>
            </w:rPr>
          </w:pPr>
          <w:r>
            <w:rPr>
              <w:rFonts w:hint="eastAsia" w:ascii="仿宋_GB2312" w:hAnsi="仿宋_GB2312" w:eastAsia="仿宋_GB2312" w:cs="仿宋_GB2312"/>
              <w:b/>
              <w:szCs w:val="32"/>
            </w:rPr>
            <w:t>乙</w:t>
          </w:r>
          <w:r>
            <w:rPr>
              <w:rFonts w:ascii="仿宋_GB2312" w:hAnsi="仿宋_GB2312" w:eastAsia="仿宋_GB2312" w:cs="仿宋_GB2312"/>
              <w:b/>
              <w:szCs w:val="32"/>
            </w:rPr>
            <w:t xml:space="preserve">    </w:t>
          </w:r>
          <w:r>
            <w:rPr>
              <w:rFonts w:hint="eastAsia" w:ascii="仿宋_GB2312" w:hAnsi="仿宋_GB2312" w:eastAsia="仿宋_GB2312" w:cs="仿宋_GB2312"/>
              <w:b/>
              <w:szCs w:val="32"/>
            </w:rPr>
            <w:t>方：</w:t>
          </w:r>
          <w:r>
            <w:rPr>
              <w:rFonts w:hint="eastAsia" w:ascii="仿宋_GB2312" w:hAnsi="仿宋_GB2312" w:eastAsia="仿宋_GB2312" w:cs="仿宋_GB2312"/>
              <w:b/>
              <w:szCs w:val="32"/>
              <w:u w:val="single"/>
            </w:rPr>
            <w:t xml:space="preserve">                                  </w:t>
          </w:r>
          <w:r>
            <w:rPr>
              <w:rFonts w:hint="eastAsia" w:ascii="仿宋_GB2312" w:hAnsi="仿宋_GB2312" w:eastAsia="仿宋_GB2312" w:cs="仿宋_GB2312"/>
              <w:b/>
              <w:szCs w:val="32"/>
            </w:rPr>
            <w:t xml:space="preserve"> </w:t>
          </w:r>
        </w:p>
        <w:p>
          <w:pPr>
            <w:spacing w:line="1000" w:lineRule="exact"/>
            <w:ind w:right="316" w:firstLine="933" w:firstLineChars="295"/>
            <w:rPr>
              <w:rFonts w:ascii="仿宋_GB2312" w:hAnsi="仿宋_GB2312" w:eastAsia="仿宋_GB2312" w:cs="仿宋_GB2312"/>
              <w:b/>
              <w:szCs w:val="32"/>
            </w:rPr>
          </w:pPr>
          <w:r>
            <w:rPr>
              <w:rFonts w:hint="eastAsia" w:ascii="仿宋_GB2312" w:hAnsi="仿宋_GB2312" w:eastAsia="仿宋_GB2312" w:cs="仿宋_GB2312"/>
              <w:b/>
              <w:szCs w:val="32"/>
            </w:rPr>
            <w:t>签订日期：</w:t>
          </w:r>
          <w:r>
            <w:rPr>
              <w:rFonts w:ascii="仿宋_GB2312" w:hAnsi="仿宋_GB2312" w:eastAsia="仿宋_GB2312" w:cs="仿宋_GB2312"/>
              <w:b/>
              <w:szCs w:val="32"/>
              <w:u w:val="single"/>
            </w:rPr>
            <w:t xml:space="preserve">  </w:t>
          </w:r>
          <w:r>
            <w:rPr>
              <w:rFonts w:hint="eastAsia" w:ascii="仿宋_GB2312" w:hAnsi="仿宋_GB2312" w:eastAsia="仿宋_GB2312" w:cs="仿宋_GB2312"/>
              <w:b/>
              <w:szCs w:val="32"/>
              <w:u w:val="single"/>
            </w:rPr>
            <w:t xml:space="preserve"> </w:t>
          </w:r>
          <w:r>
            <w:rPr>
              <w:rFonts w:ascii="仿宋_GB2312" w:hAnsi="仿宋_GB2312" w:eastAsia="仿宋_GB2312" w:cs="仿宋_GB2312"/>
              <w:b/>
              <w:szCs w:val="32"/>
              <w:u w:val="single"/>
            </w:rPr>
            <w:t xml:space="preserve">                 </w:t>
          </w:r>
          <w:r>
            <w:rPr>
              <w:rFonts w:hint="eastAsia" w:ascii="仿宋_GB2312" w:hAnsi="仿宋_GB2312" w:eastAsia="仿宋_GB2312" w:cs="仿宋_GB2312"/>
              <w:b/>
              <w:szCs w:val="32"/>
              <w:u w:val="single"/>
            </w:rPr>
            <w:t xml:space="preserve">              </w:t>
          </w:r>
        </w:p>
      </w:sdtContent>
    </w:sdt>
    <w:p>
      <w:pPr>
        <w:pStyle w:val="35"/>
        <w:widowControl w:val="0"/>
        <w:spacing w:beforeLines="0" w:afterLines="0" w:line="300" w:lineRule="auto"/>
        <w:ind w:left="0" w:leftChars="0"/>
        <w:jc w:val="both"/>
        <w:rPr>
          <w:rFonts w:ascii="仿宋" w:hAnsi="仿宋"/>
        </w:rPr>
      </w:pPr>
      <w:r>
        <w:rPr>
          <w:rFonts w:hint="eastAsia" w:ascii="仿宋" w:hAnsi="仿宋"/>
        </w:rPr>
        <w:t xml:space="preserve">                                    </w:t>
      </w:r>
    </w:p>
    <w:p>
      <w:pPr>
        <w:pStyle w:val="35"/>
        <w:widowControl w:val="0"/>
        <w:spacing w:beforeLines="0" w:afterLines="0" w:line="300" w:lineRule="auto"/>
        <w:ind w:left="0" w:leftChars="0" w:firstLine="4484" w:firstLineChars="1900"/>
        <w:jc w:val="both"/>
        <w:rPr>
          <w:rFonts w:ascii="仿宋" w:hAnsi="仿宋" w:eastAsia="仿宋"/>
          <w:b/>
          <w:sz w:val="28"/>
          <w:szCs w:val="28"/>
        </w:rPr>
      </w:pPr>
      <w:r>
        <w:rPr>
          <w:rFonts w:hint="eastAsia" w:ascii="仿宋" w:hAnsi="仿宋"/>
        </w:rPr>
        <w:t xml:space="preserve"> </w:t>
      </w:r>
      <w:r>
        <w:rPr>
          <w:rFonts w:hint="eastAsia" w:ascii="仿宋" w:hAnsi="仿宋" w:eastAsia="仿宋"/>
          <w:szCs w:val="24"/>
        </w:rPr>
        <w:t xml:space="preserve"> 合同编号：</w:t>
      </w:r>
    </w:p>
    <w:p>
      <w:pPr>
        <w:adjustRightInd w:val="0"/>
        <w:snapToGrid w:val="0"/>
        <w:spacing w:line="0" w:lineRule="atLeast"/>
        <w:ind w:right="0" w:rightChars="0"/>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贵阳市公共交通投资运营集团有限公司持有的贵州省中国旅行社有限责任公司债权及附属</w:t>
      </w:r>
    </w:p>
    <w:p>
      <w:pPr>
        <w:adjustRightInd w:val="0"/>
        <w:snapToGrid w:val="0"/>
        <w:spacing w:line="0" w:lineRule="atLeast"/>
        <w:ind w:right="0" w:rightChars="0"/>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权益整体转让协议</w:t>
      </w:r>
    </w:p>
    <w:p>
      <w:pPr>
        <w:spacing w:line="550" w:lineRule="exact"/>
        <w:ind w:right="316"/>
        <w:rPr>
          <w:rFonts w:ascii="黑体" w:hAnsi="黑体" w:eastAsia="黑体"/>
          <w:b/>
          <w:szCs w:val="32"/>
        </w:rPr>
      </w:pPr>
    </w:p>
    <w:p>
      <w:pPr>
        <w:spacing w:line="570" w:lineRule="exact"/>
        <w:ind w:left="480" w:right="316"/>
        <w:rPr>
          <w:rFonts w:ascii="仿宋_GB2312" w:hAnsi="仿宋_GB2312" w:eastAsia="仿宋_GB2312" w:cs="仿宋_GB2312"/>
          <w:b/>
          <w:szCs w:val="32"/>
        </w:rPr>
      </w:pPr>
      <w:r>
        <w:rPr>
          <w:rFonts w:hint="eastAsia" w:ascii="仿宋_GB2312" w:hAnsi="仿宋_GB2312" w:eastAsia="仿宋_GB2312" w:cs="仿宋_GB2312"/>
          <w:b/>
          <w:szCs w:val="32"/>
        </w:rPr>
        <w:t>本协议由以下双方于   年  月  日在贵阳签订。</w:t>
      </w:r>
    </w:p>
    <w:p>
      <w:pPr>
        <w:spacing w:line="570" w:lineRule="exact"/>
        <w:ind w:left="480" w:right="316"/>
        <w:rPr>
          <w:rFonts w:ascii="仿宋_GB2312" w:hAnsi="仿宋_GB2312" w:eastAsia="仿宋_GB2312" w:cs="仿宋_GB2312"/>
          <w:b/>
          <w:szCs w:val="32"/>
        </w:rPr>
      </w:pPr>
      <w:r>
        <w:rPr>
          <w:rFonts w:hint="eastAsia" w:ascii="仿宋_GB2312" w:hAnsi="仿宋_GB2312" w:eastAsia="仿宋_GB2312" w:cs="仿宋_GB2312"/>
          <w:b/>
          <w:szCs w:val="32"/>
        </w:rPr>
        <w:t>甲      方：贵阳市公共交通投资运营集团有限公司</w:t>
      </w:r>
    </w:p>
    <w:p>
      <w:pPr>
        <w:spacing w:line="570" w:lineRule="exact"/>
        <w:ind w:left="480" w:right="316"/>
        <w:rPr>
          <w:rFonts w:ascii="仿宋_GB2312" w:hAnsi="仿宋_GB2312" w:eastAsia="仿宋_GB2312" w:cs="仿宋_GB2312"/>
          <w:b/>
          <w:szCs w:val="32"/>
        </w:rPr>
      </w:pPr>
      <w:r>
        <w:rPr>
          <w:rFonts w:hint="eastAsia" w:ascii="仿宋_GB2312" w:hAnsi="仿宋_GB2312" w:eastAsia="仿宋_GB2312" w:cs="仿宋_GB2312"/>
          <w:b/>
          <w:szCs w:val="32"/>
        </w:rPr>
        <w:t>法定代表人：王飞</w:t>
      </w:r>
    </w:p>
    <w:p>
      <w:pPr>
        <w:spacing w:line="570" w:lineRule="exact"/>
        <w:ind w:left="480" w:right="316"/>
        <w:rPr>
          <w:rFonts w:ascii="仿宋_GB2312" w:hAnsi="仿宋_GB2312" w:eastAsia="仿宋_GB2312" w:cs="仿宋_GB2312"/>
          <w:b/>
          <w:szCs w:val="32"/>
        </w:rPr>
      </w:pPr>
      <w:r>
        <w:rPr>
          <w:rFonts w:hint="eastAsia" w:ascii="仿宋_GB2312" w:hAnsi="仿宋_GB2312" w:eastAsia="仿宋_GB2312" w:cs="仿宋_GB2312"/>
          <w:b/>
          <w:szCs w:val="32"/>
        </w:rPr>
        <w:t>住      所：贵阳市观山湖区诚信南路533号</w:t>
      </w:r>
    </w:p>
    <w:p>
      <w:pPr>
        <w:spacing w:line="570" w:lineRule="exact"/>
        <w:ind w:left="480" w:right="316"/>
        <w:rPr>
          <w:rFonts w:ascii="仿宋_GB2312" w:hAnsi="仿宋_GB2312" w:eastAsia="仿宋_GB2312" w:cs="仿宋_GB2312"/>
          <w:b/>
          <w:szCs w:val="32"/>
        </w:rPr>
      </w:pPr>
    </w:p>
    <w:p>
      <w:pPr>
        <w:spacing w:line="570" w:lineRule="exact"/>
        <w:ind w:left="480" w:right="316"/>
        <w:rPr>
          <w:rFonts w:ascii="仿宋_GB2312" w:hAnsi="仿宋_GB2312" w:eastAsia="仿宋_GB2312" w:cs="仿宋_GB2312"/>
          <w:b/>
          <w:szCs w:val="32"/>
        </w:rPr>
      </w:pPr>
      <w:r>
        <w:rPr>
          <w:rFonts w:hint="eastAsia" w:ascii="仿宋_GB2312" w:hAnsi="仿宋_GB2312" w:eastAsia="仿宋_GB2312" w:cs="仿宋_GB2312"/>
          <w:b/>
          <w:szCs w:val="32"/>
        </w:rPr>
        <w:t>乙      方：</w:t>
      </w:r>
    </w:p>
    <w:p>
      <w:pPr>
        <w:spacing w:line="570" w:lineRule="exact"/>
        <w:ind w:left="480" w:right="316"/>
        <w:rPr>
          <w:rFonts w:ascii="仿宋_GB2312" w:hAnsi="仿宋_GB2312" w:eastAsia="仿宋_GB2312" w:cs="仿宋_GB2312"/>
          <w:b/>
          <w:szCs w:val="32"/>
        </w:rPr>
      </w:pPr>
      <w:r>
        <w:rPr>
          <w:rFonts w:hint="eastAsia" w:ascii="仿宋_GB2312" w:hAnsi="仿宋_GB2312" w:eastAsia="仿宋_GB2312" w:cs="仿宋_GB2312"/>
          <w:b/>
          <w:szCs w:val="32"/>
        </w:rPr>
        <w:t>法定代表人：</w:t>
      </w:r>
    </w:p>
    <w:p>
      <w:pPr>
        <w:spacing w:line="570" w:lineRule="exact"/>
        <w:ind w:left="2259" w:leftChars="151" w:right="316" w:hanging="1782" w:hangingChars="564"/>
        <w:rPr>
          <w:rFonts w:ascii="仿宋_GB2312" w:hAnsi="仿宋_GB2312" w:eastAsia="仿宋_GB2312" w:cs="仿宋_GB2312"/>
          <w:b/>
          <w:kern w:val="0"/>
          <w:szCs w:val="32"/>
        </w:rPr>
      </w:pPr>
      <w:r>
        <w:rPr>
          <w:rFonts w:hint="eastAsia" w:ascii="仿宋_GB2312" w:hAnsi="仿宋_GB2312" w:eastAsia="仿宋_GB2312" w:cs="仿宋_GB2312"/>
          <w:b/>
          <w:kern w:val="0"/>
          <w:szCs w:val="32"/>
        </w:rPr>
        <w:t>住      所：</w:t>
      </w:r>
    </w:p>
    <w:p>
      <w:pPr>
        <w:pStyle w:val="2"/>
        <w:spacing w:line="570" w:lineRule="exact"/>
        <w:ind w:right="316"/>
      </w:pPr>
    </w:p>
    <w:p>
      <w:pPr>
        <w:adjustRightInd w:val="0"/>
        <w:snapToGrid w:val="0"/>
        <w:spacing w:line="570" w:lineRule="exact"/>
        <w:ind w:right="0" w:rightChars="0"/>
        <w:outlineLvl w:val="0"/>
        <w:rPr>
          <w:rFonts w:ascii="黑体" w:hAnsi="黑体" w:eastAsia="黑体" w:cs="仿宋_GB2312"/>
          <w:szCs w:val="32"/>
        </w:rPr>
      </w:pPr>
      <w:r>
        <w:rPr>
          <w:rFonts w:hint="eastAsia" w:ascii="黑体" w:hAnsi="黑体" w:eastAsia="黑体" w:cs="仿宋_GB2312"/>
          <w:szCs w:val="32"/>
        </w:rPr>
        <w:t>鉴于：</w:t>
      </w:r>
    </w:p>
    <w:p>
      <w:pPr>
        <w:pStyle w:val="36"/>
        <w:adjustRightInd w:val="0"/>
        <w:snapToGrid w:val="0"/>
        <w:spacing w:beforeLines="0" w:afterLines="0" w:line="570" w:lineRule="exact"/>
        <w:ind w:left="0" w:leftChars="0" w:firstLine="63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1.甲方是依法成立的有限责任公司。</w:t>
      </w:r>
    </w:p>
    <w:p>
      <w:pPr>
        <w:pStyle w:val="36"/>
        <w:adjustRightInd w:val="0"/>
        <w:snapToGrid w:val="0"/>
        <w:spacing w:beforeLines="0" w:afterLines="0" w:line="570" w:lineRule="exact"/>
        <w:ind w:left="0" w:leftChars="0" w:firstLine="63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2.乙方是依法成立的xxxxx。</w:t>
      </w:r>
    </w:p>
    <w:p>
      <w:pPr>
        <w:pStyle w:val="36"/>
        <w:adjustRightInd w:val="0"/>
        <w:snapToGrid w:val="0"/>
        <w:spacing w:beforeLines="0" w:afterLines="0" w:line="570" w:lineRule="exact"/>
        <w:ind w:left="0" w:leftChars="0" w:firstLine="63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乙方已充分了解本协议项下债权资产可能存在的瑕疵与风险，且了解到基于该债权资产的特性，该债权资产存在着部分或全部不能回收的风险性以及清收的困难性，乙方自愿承担该债权资产的瑕疵或/和风险（包括但不限于预期利益无法实现的风险）；乙方亦充分了解甲方收购和处置本协议项下债权资产均按照有关法律、法规、政府部门的规定进行。</w:t>
      </w:r>
    </w:p>
    <w:p>
      <w:pPr>
        <w:pStyle w:val="36"/>
        <w:adjustRightInd w:val="0"/>
        <w:snapToGrid w:val="0"/>
        <w:spacing w:beforeLines="0" w:afterLines="0" w:line="570" w:lineRule="exact"/>
        <w:ind w:left="0" w:leftChars="0" w:firstLine="63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4.乙方自愿承担因本协议开展收购和处置该债权资产而产生的任何风险与损失。</w:t>
      </w:r>
    </w:p>
    <w:p>
      <w:pPr>
        <w:pStyle w:val="36"/>
        <w:adjustRightInd w:val="0"/>
        <w:snapToGrid w:val="0"/>
        <w:spacing w:beforeLines="0" w:afterLines="0" w:line="570" w:lineRule="exact"/>
        <w:ind w:left="0" w:leftChars="0" w:firstLine="63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甲、乙双方在平等、自愿的基础上，就</w:t>
      </w:r>
      <w:r>
        <w:rPr>
          <w:rFonts w:hint="eastAsia" w:ascii="仿宋_GB2312" w:hAnsi="仿宋_GB2312" w:eastAsia="仿宋_GB2312" w:cs="仿宋_GB2312"/>
          <w:b w:val="0"/>
          <w:bCs w:val="0"/>
          <w:color w:val="auto"/>
          <w:sz w:val="32"/>
          <w:szCs w:val="32"/>
          <w:lang w:val="en-US" w:eastAsia="zh-CN"/>
        </w:rPr>
        <w:t>债权转让</w:t>
      </w:r>
      <w:r>
        <w:rPr>
          <w:rFonts w:hint="eastAsia" w:ascii="仿宋_GB2312" w:hAnsi="仿宋_GB2312" w:eastAsia="仿宋_GB2312" w:cs="仿宋_GB2312"/>
          <w:sz w:val="32"/>
          <w:szCs w:val="32"/>
        </w:rPr>
        <w:t>事项达成如下协议，供双方共同遵守：</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第一条 定义</w:t>
      </w:r>
    </w:p>
    <w:p>
      <w:pPr>
        <w:pStyle w:val="36"/>
        <w:adjustRightInd w:val="0"/>
        <w:snapToGrid w:val="0"/>
        <w:spacing w:beforeLines="0" w:afterLines="0" w:line="570" w:lineRule="exact"/>
        <w:ind w:left="0" w:leftChars="0" w:firstLine="63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本协议中的下列词语具有定义所指的特定涵义，协议正文另有规定的除外。</w:t>
      </w:r>
    </w:p>
    <w:p>
      <w:pPr>
        <w:pStyle w:val="36"/>
        <w:adjustRightInd w:val="0"/>
        <w:snapToGrid w:val="0"/>
        <w:spacing w:beforeLines="0" w:afterLines="0" w:line="570" w:lineRule="exact"/>
        <w:ind w:left="0" w:leftChars="0" w:firstLine="63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在本协议中，除非上下文另有解释或文义另作说明，下列用语具有以下所规定之含义：</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1.1 债权资产（以下简称债权），是指甲方从贵州省资产管理股份有限公司受让的</w:t>
      </w:r>
      <w:r>
        <w:rPr>
          <w:rFonts w:hint="eastAsia" w:ascii="仿宋_GB2312" w:hAnsi="仿宋_GB2312" w:eastAsia="仿宋_GB2312" w:cs="仿宋_GB2312"/>
          <w:szCs w:val="32"/>
          <w:u w:val="single"/>
        </w:rPr>
        <w:t>贵州省中国旅行社有限责任公司</w:t>
      </w:r>
      <w:r>
        <w:rPr>
          <w:rFonts w:hint="eastAsia" w:ascii="仿宋_GB2312" w:hAnsi="仿宋_GB2312" w:eastAsia="仿宋_GB2312" w:cs="仿宋_GB2312"/>
          <w:color w:val="auto"/>
          <w:szCs w:val="32"/>
          <w:u w:val="none"/>
          <w:lang w:val="en-US" w:eastAsia="zh-CN"/>
        </w:rPr>
        <w:t>两笔不良债权、担保权利及其附属权益。</w:t>
      </w:r>
      <w:r>
        <w:rPr>
          <w:rFonts w:hint="eastAsia" w:ascii="仿宋_GB2312" w:hAnsi="仿宋_GB2312" w:eastAsia="仿宋_GB2312" w:cs="仿宋_GB2312"/>
          <w:szCs w:val="32"/>
        </w:rPr>
        <w:t>其中，附属权利包括但不限于：</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1.1.1 原债权人（即贵州省资产管理股份有限公司）在基准日之前借款人、担保人及其他相关方签署的和解协议、债务重组协议、以物（股权）抵债协议等而对相应的借款人、担保人及其他相关方享有的请求权。</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1.1.2 相关债权已于基准日前经人民法院或者仲裁机构生效判决或者调解、裁定以物（股权）抵债的，甲方依据生效法律文书对相关抵债物（股权）享有的权利。</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1.1.3 甲方基于债权而享有的其他法定或者约定的程序及实体权利，包括但不限于破产债权申报权、诉讼权利、申请执行权。</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1.1.4 甲方因行使债权而向司法机关申请查封、冻结、扣押的资产的受偿权、收益权。</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1.1.5 甲方在权利转移日前因对催收本协议</w:t>
      </w:r>
      <w:r>
        <w:rPr>
          <w:rFonts w:hint="eastAsia" w:ascii="仿宋_GB2312" w:hAnsi="仿宋_GB2312" w:eastAsia="仿宋_GB2312" w:cs="仿宋_GB2312"/>
          <w:szCs w:val="32"/>
          <w:u w:val="single"/>
        </w:rPr>
        <w:t>贵州省中国旅行社有限责任公司</w:t>
      </w:r>
      <w:r>
        <w:rPr>
          <w:rFonts w:hint="eastAsia" w:ascii="仿宋_GB2312" w:hAnsi="仿宋_GB2312" w:eastAsia="仿宋_GB2312" w:cs="仿宋_GB2312"/>
          <w:szCs w:val="32"/>
        </w:rPr>
        <w:t>债权而支付的包括但不限于诉讼费、保全费、执行费及评估费、公告费等在内的可向债务人或者被执行人主张的费用追索权。</w:t>
      </w:r>
    </w:p>
    <w:p>
      <w:pPr>
        <w:spacing w:line="570" w:lineRule="exact"/>
        <w:ind w:right="0" w:rightChars="0" w:firstLine="632" w:firstLineChars="200"/>
        <w:rPr>
          <w:rFonts w:hint="default" w:eastAsia="仿宋_GB2312"/>
          <w:b/>
          <w:bCs/>
          <w:color w:val="auto"/>
          <w:lang w:val="en-US" w:eastAsia="zh-CN"/>
        </w:rPr>
      </w:pPr>
      <w:r>
        <w:rPr>
          <w:rFonts w:hint="eastAsia" w:ascii="仿宋_GB2312" w:hAnsi="仿宋_GB2312" w:eastAsia="仿宋_GB2312" w:cs="仿宋_GB2312"/>
          <w:szCs w:val="32"/>
        </w:rPr>
        <w:t>1.2</w:t>
      </w:r>
      <w:r>
        <w:rPr>
          <w:rFonts w:ascii="仿宋_GB2312" w:hAnsi="仿宋_GB2312" w:eastAsia="仿宋_GB2312" w:cs="仿宋_GB2312"/>
          <w:szCs w:val="32"/>
        </w:rPr>
        <w:t xml:space="preserve"> </w:t>
      </w:r>
      <w:r>
        <w:rPr>
          <w:rFonts w:hint="eastAsia" w:ascii="仿宋_GB2312" w:hAnsi="仿宋_GB2312" w:eastAsia="仿宋_GB2312" w:cs="仿宋_GB2312"/>
          <w:szCs w:val="32"/>
        </w:rPr>
        <w:t>债权转让，指甲方将债权转让给乙方，由乙方取得对债权享有的所有权属和相关权利。</w:t>
      </w:r>
      <w:r>
        <w:rPr>
          <w:rFonts w:hint="eastAsia" w:ascii="仿宋_GB2312" w:hAnsi="仿宋_GB2312" w:eastAsia="仿宋_GB2312" w:cs="仿宋_GB2312"/>
          <w:b/>
          <w:bCs/>
          <w:color w:val="auto"/>
          <w:szCs w:val="32"/>
          <w:lang w:val="en-US" w:eastAsia="zh-CN"/>
        </w:rPr>
        <w:t>权利转移日之前，</w:t>
      </w:r>
      <w:r>
        <w:rPr>
          <w:rFonts w:hint="eastAsia" w:ascii="仿宋_GB2312" w:hAnsi="仿宋_GB2312" w:eastAsia="仿宋_GB2312" w:cs="仿宋_GB2312"/>
          <w:b/>
          <w:bCs/>
          <w:color w:val="auto"/>
          <w:szCs w:val="32"/>
        </w:rPr>
        <w:t>甲方对标的资产中相关债务人或者还款义务人进行追偿或者相关债务人或者还款义务人主动还款所获得的</w:t>
      </w:r>
      <w:r>
        <w:rPr>
          <w:rFonts w:hint="eastAsia" w:ascii="仿宋_GB2312" w:hAnsi="仿宋_GB2312" w:eastAsia="仿宋_GB2312" w:cs="仿宋_GB2312"/>
          <w:b/>
          <w:bCs/>
          <w:color w:val="auto"/>
          <w:szCs w:val="32"/>
          <w:lang w:val="en-US" w:eastAsia="zh-CN"/>
        </w:rPr>
        <w:t>收入</w:t>
      </w:r>
      <w:r>
        <w:rPr>
          <w:rFonts w:hint="eastAsia" w:ascii="仿宋_GB2312" w:hAnsi="仿宋_GB2312" w:eastAsia="仿宋_GB2312" w:cs="仿宋_GB2312"/>
          <w:b/>
          <w:bCs/>
          <w:color w:val="auto"/>
          <w:szCs w:val="32"/>
        </w:rPr>
        <w:t>（包括现金和非现金</w:t>
      </w:r>
      <w:r>
        <w:rPr>
          <w:rFonts w:hint="eastAsia" w:ascii="仿宋_GB2312" w:hAnsi="仿宋_GB2312" w:eastAsia="仿宋_GB2312" w:cs="仿宋_GB2312"/>
          <w:b/>
          <w:bCs/>
          <w:color w:val="auto"/>
          <w:szCs w:val="32"/>
          <w:lang w:val="en-US" w:eastAsia="zh-CN"/>
        </w:rPr>
        <w:t>收入</w:t>
      </w:r>
      <w:r>
        <w:rPr>
          <w:rFonts w:hint="eastAsia" w:ascii="仿宋_GB2312" w:hAnsi="仿宋_GB2312" w:eastAsia="仿宋_GB2312" w:cs="仿宋_GB2312"/>
          <w:b/>
          <w:bCs/>
          <w:color w:val="auto"/>
          <w:szCs w:val="32"/>
        </w:rPr>
        <w:t>）</w:t>
      </w:r>
      <w:r>
        <w:rPr>
          <w:rFonts w:hint="eastAsia" w:ascii="仿宋_GB2312" w:hAnsi="仿宋_GB2312" w:eastAsia="仿宋_GB2312" w:cs="仿宋_GB2312"/>
          <w:b/>
          <w:bCs/>
          <w:color w:val="auto"/>
          <w:szCs w:val="32"/>
          <w:lang w:val="en-US" w:eastAsia="zh-CN"/>
        </w:rPr>
        <w:t>归甲方所有，不在本次转让范围内。</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1.3</w:t>
      </w:r>
      <w:r>
        <w:rPr>
          <w:rFonts w:ascii="仿宋_GB2312" w:hAnsi="仿宋_GB2312" w:eastAsia="仿宋_GB2312" w:cs="仿宋_GB2312"/>
          <w:szCs w:val="32"/>
        </w:rPr>
        <w:t xml:space="preserve"> </w:t>
      </w:r>
      <w:r>
        <w:rPr>
          <w:rFonts w:hint="eastAsia" w:ascii="仿宋_GB2312" w:hAnsi="仿宋_GB2312" w:eastAsia="仿宋_GB2312" w:cs="仿宋_GB2312"/>
          <w:szCs w:val="32"/>
        </w:rPr>
        <w:t>原债权人，指贵州省资产管理股份有限公司。</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highlight w:val="none"/>
        </w:rPr>
        <w:t>1.4</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rPr>
        <w:t>基准日，</w:t>
      </w:r>
      <w:r>
        <w:rPr>
          <w:rFonts w:hint="eastAsia" w:ascii="仿宋_GB2312" w:hAnsi="仿宋_GB2312" w:eastAsia="仿宋_GB2312" w:cs="仿宋_GB2312"/>
          <w:color w:val="auto"/>
          <w:szCs w:val="32"/>
        </w:rPr>
        <w:t>指确定债权的截止时间</w:t>
      </w:r>
      <w:r>
        <w:rPr>
          <w:rFonts w:hint="eastAsia" w:ascii="仿宋_GB2312" w:hAnsi="仿宋_GB2312" w:eastAsia="仿宋_GB2312" w:cs="仿宋_GB2312"/>
          <w:szCs w:val="32"/>
          <w:lang w:eastAsia="zh-CN"/>
        </w:rPr>
        <w:t>。</w:t>
      </w:r>
    </w:p>
    <w:p>
      <w:pPr>
        <w:spacing w:line="570" w:lineRule="exact"/>
        <w:ind w:right="0" w:rightChars="0" w:firstLine="632" w:firstLineChars="200"/>
        <w:rPr>
          <w:rFonts w:hint="eastAsia" w:ascii="仿宋_GB2312" w:hAnsi="仿宋_GB2312" w:eastAsia="仿宋_GB2312" w:cs="仿宋_GB2312"/>
          <w:color w:val="auto"/>
          <w:szCs w:val="32"/>
        </w:rPr>
      </w:pPr>
      <w:r>
        <w:rPr>
          <w:rFonts w:hint="eastAsia" w:ascii="仿宋_GB2312" w:hAnsi="仿宋_GB2312" w:eastAsia="仿宋_GB2312" w:cs="仿宋_GB2312"/>
          <w:szCs w:val="32"/>
        </w:rPr>
        <w:t>1.5</w:t>
      </w:r>
      <w:r>
        <w:rPr>
          <w:rFonts w:ascii="仿宋_GB2312" w:hAnsi="仿宋_GB2312" w:eastAsia="仿宋_GB2312" w:cs="仿宋_GB2312"/>
          <w:szCs w:val="32"/>
        </w:rPr>
        <w:t xml:space="preserve"> </w:t>
      </w:r>
      <w:r>
        <w:rPr>
          <w:rFonts w:hint="eastAsia" w:ascii="仿宋_GB2312" w:hAnsi="仿宋_GB2312" w:eastAsia="仿宋_GB2312" w:cs="仿宋_GB2312"/>
          <w:szCs w:val="32"/>
        </w:rPr>
        <w:t>权利转移日，指乙方按照本协议约定，支付完毕全部转让价款且全部转让价款到达甲方指定账户之日。债权转移日后（含转移当日），</w:t>
      </w:r>
      <w:r>
        <w:rPr>
          <w:rFonts w:hint="eastAsia" w:ascii="仿宋_GB2312" w:hAnsi="仿宋_GB2312" w:eastAsia="仿宋_GB2312" w:cs="仿宋_GB2312"/>
          <w:color w:val="auto"/>
          <w:szCs w:val="32"/>
        </w:rPr>
        <w:t>转让标的的主债权、担保权利及其附属权益</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以及</w:t>
      </w:r>
      <w:r>
        <w:rPr>
          <w:rFonts w:hint="eastAsia" w:ascii="仿宋_GB2312" w:hAnsi="仿宋_GB2312" w:eastAsia="仿宋_GB2312" w:cs="仿宋_GB2312"/>
          <w:color w:val="auto"/>
          <w:szCs w:val="32"/>
        </w:rPr>
        <w:t>风险属于乙方。</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1.6</w:t>
      </w:r>
      <w:r>
        <w:rPr>
          <w:rFonts w:ascii="仿宋_GB2312" w:hAnsi="仿宋_GB2312" w:eastAsia="仿宋_GB2312" w:cs="仿宋_GB2312"/>
          <w:szCs w:val="32"/>
        </w:rPr>
        <w:t xml:space="preserve"> </w:t>
      </w:r>
      <w:r>
        <w:rPr>
          <w:rFonts w:hint="eastAsia" w:ascii="仿宋_GB2312" w:hAnsi="仿宋_GB2312" w:eastAsia="仿宋_GB2312" w:cs="仿宋_GB2312"/>
          <w:szCs w:val="32"/>
        </w:rPr>
        <w:t>交割日，指甲方向乙方移交债权凭证，双方签署《档案资料移交清单》之日。</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1.7</w:t>
      </w:r>
      <w:r>
        <w:rPr>
          <w:rFonts w:ascii="仿宋_GB2312" w:hAnsi="仿宋_GB2312" w:eastAsia="仿宋_GB2312" w:cs="仿宋_GB2312"/>
          <w:szCs w:val="32"/>
        </w:rPr>
        <w:t xml:space="preserve"> </w:t>
      </w:r>
      <w:r>
        <w:rPr>
          <w:rFonts w:hint="eastAsia" w:ascii="仿宋_GB2312" w:hAnsi="仿宋_GB2312" w:eastAsia="仿宋_GB2312" w:cs="仿宋_GB2312"/>
          <w:szCs w:val="32"/>
        </w:rPr>
        <w:t>过渡期，指</w:t>
      </w:r>
      <w:r>
        <w:rPr>
          <w:rFonts w:hint="eastAsia" w:ascii="仿宋_GB2312" w:hAnsi="仿宋_GB2312" w:eastAsia="仿宋_GB2312" w:cs="仿宋_GB2312"/>
          <w:szCs w:val="32"/>
          <w:lang w:val="en-US" w:eastAsia="zh-CN"/>
        </w:rPr>
        <w:t>权利转移日</w:t>
      </w:r>
      <w:r>
        <w:rPr>
          <w:rFonts w:hint="eastAsia" w:ascii="仿宋_GB2312" w:hAnsi="仿宋_GB2312" w:eastAsia="仿宋_GB2312" w:cs="仿宋_GB2312"/>
          <w:szCs w:val="32"/>
        </w:rPr>
        <w:t>（含当日）至交割日（含当日）的期间。</w:t>
      </w:r>
    </w:p>
    <w:p>
      <w:pPr>
        <w:spacing w:line="570" w:lineRule="exact"/>
        <w:ind w:right="0" w:rightChars="0" w:firstLine="632"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1.8</w:t>
      </w:r>
      <w:r>
        <w:rPr>
          <w:rFonts w:ascii="仿宋_GB2312" w:hAnsi="仿宋_GB2312" w:eastAsia="仿宋_GB2312" w:cs="仿宋_GB2312"/>
          <w:szCs w:val="32"/>
        </w:rPr>
        <w:t xml:space="preserve"> </w:t>
      </w:r>
      <w:r>
        <w:rPr>
          <w:rFonts w:hint="eastAsia" w:ascii="仿宋_GB2312" w:hAnsi="仿宋_GB2312" w:eastAsia="仿宋_GB2312" w:cs="仿宋_GB2312"/>
          <w:szCs w:val="32"/>
        </w:rPr>
        <w:t>过渡期收益，指过渡期内，甲方因对标的资产中相关债务人或者还款义务人进行追偿或者相关债务人或者还款义务人主动还款所获得的收益（包括现金和非现金收益）。</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第二条 转让标的</w:t>
      </w:r>
    </w:p>
    <w:p>
      <w:pPr>
        <w:spacing w:line="570" w:lineRule="exact"/>
        <w:ind w:right="0" w:rightChars="0" w:firstLine="632"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2.1 甲方向乙方转让的标的为甲方持有的</w:t>
      </w:r>
      <w:r>
        <w:rPr>
          <w:rFonts w:hint="eastAsia" w:ascii="仿宋_GB2312" w:hAnsi="仿宋_GB2312" w:eastAsia="仿宋_GB2312" w:cs="仿宋_GB2312"/>
          <w:szCs w:val="32"/>
          <w:u w:val="none"/>
        </w:rPr>
        <w:t>贵州省中国旅行社有限责任</w:t>
      </w:r>
      <w:r>
        <w:rPr>
          <w:rFonts w:hint="eastAsia" w:ascii="仿宋_GB2312" w:hAnsi="仿宋_GB2312" w:eastAsia="仿宋_GB2312" w:cs="仿宋_GB2312"/>
          <w:color w:val="auto"/>
          <w:szCs w:val="32"/>
          <w:u w:val="none"/>
        </w:rPr>
        <w:t>公司</w:t>
      </w:r>
      <w:r>
        <w:rPr>
          <w:rFonts w:hint="eastAsia" w:ascii="仿宋_GB2312" w:hAnsi="仿宋_GB2312" w:eastAsia="仿宋_GB2312" w:cs="仿宋_GB2312"/>
          <w:color w:val="auto"/>
          <w:szCs w:val="32"/>
          <w:u w:val="none"/>
          <w:lang w:val="en-US" w:eastAsia="zh-CN"/>
        </w:rPr>
        <w:t>两笔债权</w:t>
      </w:r>
      <w:r>
        <w:rPr>
          <w:rFonts w:hint="eastAsia" w:ascii="仿宋_GB2312" w:hAnsi="仿宋_GB2312" w:eastAsia="仿宋_GB2312" w:cs="仿宋_GB2312"/>
          <w:color w:val="auto"/>
          <w:szCs w:val="32"/>
        </w:rPr>
        <w:t>及</w:t>
      </w:r>
      <w:r>
        <w:rPr>
          <w:rFonts w:hint="eastAsia" w:ascii="仿宋_GB2312" w:hAnsi="仿宋_GB2312" w:eastAsia="仿宋_GB2312" w:cs="仿宋_GB2312"/>
          <w:szCs w:val="32"/>
        </w:rPr>
        <w:t>其附属权益。</w:t>
      </w:r>
    </w:p>
    <w:p>
      <w:pPr>
        <w:spacing w:line="570" w:lineRule="exact"/>
        <w:ind w:right="0" w:rightChars="0" w:firstLine="632" w:firstLineChars="200"/>
        <w:rPr>
          <w:rFonts w:hint="default" w:ascii="仿宋_GB2312" w:hAnsi="仿宋_GB2312" w:eastAsia="仿宋_GB2312" w:cs="仿宋_GB2312"/>
          <w:color w:val="auto"/>
          <w:szCs w:val="32"/>
          <w:lang w:val="en-US" w:eastAsia="zh-CN"/>
        </w:rPr>
      </w:pPr>
      <w:r>
        <w:rPr>
          <w:rFonts w:hint="eastAsia" w:ascii="仿宋_GB2312" w:hAnsi="仿宋_GB2312" w:eastAsia="仿宋_GB2312" w:cs="仿宋_GB2312"/>
          <w:szCs w:val="32"/>
        </w:rPr>
        <w:t xml:space="preserve">2.2 </w:t>
      </w:r>
      <w:r>
        <w:rPr>
          <w:rFonts w:hint="eastAsia" w:ascii="仿宋_GB2312" w:hAnsi="仿宋_GB2312" w:eastAsia="仿宋_GB2312" w:cs="仿宋_GB2312"/>
          <w:color w:val="auto"/>
          <w:szCs w:val="32"/>
        </w:rPr>
        <w:t>转让标的概况：</w:t>
      </w:r>
      <w:r>
        <w:rPr>
          <w:rFonts w:hint="eastAsia" w:ascii="仿宋_GB2312" w:hAnsi="仿宋_GB2312" w:eastAsia="仿宋_GB2312" w:cs="仿宋_GB2312"/>
          <w:color w:val="auto"/>
          <w:szCs w:val="32"/>
          <w:lang w:val="en-US" w:eastAsia="zh-CN"/>
        </w:rPr>
        <w:t>以2024年5月31日为基准日，两笔债权本金为1350万元，利息</w:t>
      </w:r>
      <w:r>
        <w:rPr>
          <w:rFonts w:hint="eastAsia" w:ascii="仿宋_GB2312" w:hAnsi="仿宋_GB2312" w:eastAsia="仿宋_GB2312" w:cs="仿宋_GB2312"/>
          <w:color w:val="auto"/>
          <w:szCs w:val="32"/>
        </w:rPr>
        <w:t>（含罚息、复利）</w:t>
      </w:r>
      <w:r>
        <w:rPr>
          <w:rFonts w:hint="eastAsia" w:ascii="仿宋_GB2312" w:hAnsi="仿宋_GB2312" w:eastAsia="仿宋_GB2312" w:cs="仿宋_GB2312"/>
          <w:color w:val="auto"/>
          <w:szCs w:val="32"/>
          <w:lang w:val="en-US" w:eastAsia="zh-CN"/>
        </w:rPr>
        <w:t>及其他费用为</w:t>
      </w:r>
      <w:r>
        <w:rPr>
          <w:rFonts w:hint="eastAsia" w:ascii="仿宋_GB2312" w:hAnsi="仿宋_GB2312" w:eastAsia="仿宋_GB2312" w:cs="仿宋_GB2312"/>
          <w:color w:val="auto"/>
          <w:spacing w:val="-23"/>
          <w:szCs w:val="32"/>
          <w:lang w:val="en-US" w:eastAsia="zh-CN"/>
        </w:rPr>
        <w:t>570.</w:t>
      </w:r>
      <w:r>
        <w:rPr>
          <w:rFonts w:hint="eastAsia" w:ascii="仿宋_GB2312" w:hAnsi="仿宋_GB2312" w:eastAsia="仿宋_GB2312" w:cs="仿宋_GB2312"/>
          <w:color w:val="auto"/>
          <w:spacing w:val="-23"/>
          <w:szCs w:val="32"/>
          <w:lang w:val="en-US" w:eastAsia="zh-CN"/>
        </w:rPr>
        <w:t>547189</w:t>
      </w:r>
      <w:r>
        <w:rPr>
          <w:rFonts w:hint="eastAsia" w:ascii="仿宋_GB2312" w:hAnsi="仿宋_GB2312" w:eastAsia="仿宋_GB2312" w:cs="仿宋_GB2312"/>
          <w:color w:val="auto"/>
          <w:spacing w:val="-23"/>
          <w:szCs w:val="32"/>
          <w:lang w:val="en-US" w:eastAsia="zh-CN"/>
        </w:rPr>
        <w:t>万元，合计1920.</w:t>
      </w:r>
      <w:r>
        <w:rPr>
          <w:rFonts w:hint="eastAsia" w:ascii="仿宋_GB2312" w:hAnsi="仿宋_GB2312" w:eastAsia="仿宋_GB2312" w:cs="仿宋_GB2312"/>
          <w:color w:val="auto"/>
          <w:spacing w:val="-23"/>
          <w:szCs w:val="32"/>
          <w:lang w:val="en-US" w:eastAsia="zh-CN"/>
        </w:rPr>
        <w:t>547189</w:t>
      </w:r>
      <w:r>
        <w:rPr>
          <w:rFonts w:hint="eastAsia" w:ascii="仿宋_GB2312" w:hAnsi="仿宋_GB2312" w:eastAsia="仿宋_GB2312" w:cs="仿宋_GB2312"/>
          <w:color w:val="auto"/>
          <w:spacing w:val="-23"/>
          <w:szCs w:val="32"/>
          <w:lang w:val="en-US" w:eastAsia="zh-CN"/>
        </w:rPr>
        <w:t>万元。</w:t>
      </w:r>
      <w:r>
        <w:rPr>
          <w:rFonts w:hint="eastAsia" w:ascii="仿宋_GB2312" w:hAnsi="仿宋_GB2312" w:eastAsia="仿宋_GB2312" w:cs="仿宋_GB2312"/>
          <w:color w:val="auto"/>
          <w:szCs w:val="32"/>
          <w:lang w:val="en-US" w:eastAsia="zh-CN"/>
        </w:rPr>
        <w:t>各笔债权基本概况如下：</w:t>
      </w:r>
    </w:p>
    <w:p>
      <w:pPr>
        <w:spacing w:line="570" w:lineRule="exact"/>
        <w:ind w:right="0" w:rightChars="0" w:firstLine="632" w:firstLineChars="200"/>
        <w:rPr>
          <w:rFonts w:hint="default" w:ascii="仿宋_GB2312" w:hAnsi="仿宋_GB2312" w:eastAsia="仿宋_GB2312" w:cs="仿宋_GB2312"/>
          <w:szCs w:val="32"/>
          <w:lang w:val="en-US" w:eastAsia="zh-CN"/>
        </w:rPr>
      </w:pPr>
      <w:r>
        <w:rPr>
          <w:rFonts w:hint="eastAsia" w:ascii="仿宋_GB2312" w:hAnsi="仿宋_GB2312" w:eastAsia="仿宋_GB2312" w:cs="仿宋_GB2312"/>
          <w:b/>
          <w:bCs/>
          <w:szCs w:val="32"/>
          <w:lang w:eastAsia="zh-Hans"/>
        </w:rPr>
        <w:t>一是本金400万元债权：</w:t>
      </w:r>
      <w:r>
        <w:rPr>
          <w:rFonts w:hint="eastAsia" w:ascii="仿宋_GB2312" w:hAnsi="仿宋_GB2312" w:eastAsia="仿宋_GB2312" w:cs="仿宋_GB2312"/>
          <w:szCs w:val="32"/>
          <w:lang w:eastAsia="zh-Hans"/>
        </w:rPr>
        <w:t>贵阳银行南明支行向</w:t>
      </w:r>
      <w:r>
        <w:rPr>
          <w:rFonts w:hint="eastAsia" w:ascii="仿宋_GB2312" w:hAnsi="仿宋_GB2312" w:eastAsia="仿宋_GB2312" w:cs="仿宋_GB2312"/>
          <w:szCs w:val="32"/>
          <w:u w:val="none"/>
        </w:rPr>
        <w:t>贵州省中国旅行社有限责任</w:t>
      </w:r>
      <w:r>
        <w:rPr>
          <w:rFonts w:hint="eastAsia" w:ascii="仿宋_GB2312" w:hAnsi="仿宋_GB2312" w:eastAsia="仿宋_GB2312" w:cs="仿宋_GB2312"/>
          <w:color w:val="auto"/>
          <w:szCs w:val="32"/>
          <w:u w:val="none"/>
        </w:rPr>
        <w:t>公司</w:t>
      </w:r>
      <w:r>
        <w:rPr>
          <w:rFonts w:hint="eastAsia" w:ascii="仿宋_GB2312" w:hAnsi="仿宋_GB2312" w:eastAsia="仿宋_GB2312" w:cs="仿宋_GB2312"/>
          <w:szCs w:val="32"/>
          <w:lang w:eastAsia="zh-Hans"/>
        </w:rPr>
        <w:t>发放贷款500万元，</w:t>
      </w:r>
      <w:r>
        <w:rPr>
          <w:rFonts w:hint="eastAsia" w:ascii="仿宋_GB2312" w:hAnsi="仿宋_GB2312" w:eastAsia="仿宋_GB2312" w:cs="仿宋_GB2312"/>
          <w:szCs w:val="32"/>
          <w:lang w:val="en-US" w:eastAsia="zh-CN"/>
        </w:rPr>
        <w:t>保证人为付帅、贵州宝兴投资融资担保有限公司；</w:t>
      </w:r>
      <w:r>
        <w:rPr>
          <w:rFonts w:hint="eastAsia" w:ascii="仿宋_GB2312" w:hAnsi="仿宋_GB2312" w:eastAsia="仿宋_GB2312" w:cs="仿宋_GB2312"/>
          <w:szCs w:val="32"/>
          <w:lang w:eastAsia="zh-Hans"/>
        </w:rPr>
        <w:t>2021年8月2日，南明支行扣划了质押人</w:t>
      </w:r>
      <w:r>
        <w:rPr>
          <w:rFonts w:hint="eastAsia" w:ascii="仿宋_GB2312" w:hAnsi="仿宋_GB2312" w:eastAsia="仿宋_GB2312" w:cs="仿宋_GB2312"/>
          <w:szCs w:val="32"/>
          <w:lang w:val="en-US" w:eastAsia="zh-CN"/>
        </w:rPr>
        <w:t>贵州宝兴投资融资担保有限公司</w:t>
      </w:r>
      <w:r>
        <w:rPr>
          <w:rFonts w:hint="eastAsia" w:ascii="仿宋_GB2312" w:hAnsi="仿宋_GB2312" w:eastAsia="仿宋_GB2312" w:cs="仿宋_GB2312"/>
          <w:szCs w:val="32"/>
          <w:lang w:eastAsia="zh-Hans"/>
        </w:rPr>
        <w:t>的定期存款存单100万元冲抵借款本金并支付给贵阳市公共交通投资运营集团有限公司，故该笔债权现在尚欠借款本金400万元。2022年12月，贵阳市南明区人民法院出具了《民事判决书》</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eastAsia="zh-Hans"/>
        </w:rPr>
        <w:t>2024年3月，贵阳市南明区人民法院出具了《执行裁定书》，法院在划拨现金154800元后，因无可供执行的财产，裁定终结(2022)黔0102民初11687号民事判决书的本次执行程序。</w:t>
      </w:r>
      <w:r>
        <w:rPr>
          <w:rFonts w:hint="eastAsia" w:ascii="仿宋_GB2312" w:hAnsi="仿宋_GB2312" w:eastAsia="仿宋_GB2312" w:cs="仿宋_GB2312"/>
          <w:szCs w:val="32"/>
          <w:lang w:val="en-US" w:eastAsia="zh-CN"/>
        </w:rPr>
        <w:t>截止2024年5月31日，该笔债权本息及其他费用合计为594.022864万元。</w:t>
      </w:r>
    </w:p>
    <w:p>
      <w:pPr>
        <w:spacing w:line="570" w:lineRule="exact"/>
        <w:ind w:right="0" w:rightChars="0" w:firstLine="632" w:firstLineChars="200"/>
        <w:rPr>
          <w:rFonts w:hint="eastAsia" w:ascii="仿宋_GB2312" w:hAnsi="仿宋_GB2312" w:eastAsia="仿宋_GB2312" w:cs="仿宋_GB2312"/>
          <w:szCs w:val="32"/>
          <w:lang w:eastAsia="zh-Hans"/>
        </w:rPr>
      </w:pPr>
      <w:r>
        <w:rPr>
          <w:rFonts w:hint="eastAsia" w:ascii="仿宋_GB2312" w:hAnsi="仿宋_GB2312" w:eastAsia="仿宋_GB2312" w:cs="仿宋_GB2312"/>
          <w:b/>
          <w:bCs/>
          <w:szCs w:val="32"/>
          <w:lang w:eastAsia="zh-Hans"/>
        </w:rPr>
        <w:t>二是本金950万元债权：</w:t>
      </w:r>
      <w:r>
        <w:rPr>
          <w:rFonts w:hint="eastAsia" w:ascii="仿宋_GB2312" w:hAnsi="仿宋_GB2312" w:eastAsia="仿宋_GB2312" w:cs="仿宋_GB2312"/>
          <w:szCs w:val="32"/>
          <w:lang w:eastAsia="zh-Hans"/>
        </w:rPr>
        <w:t>贵阳银行南明支行向</w:t>
      </w:r>
      <w:r>
        <w:rPr>
          <w:rFonts w:hint="eastAsia" w:ascii="仿宋_GB2312" w:hAnsi="仿宋_GB2312" w:eastAsia="仿宋_GB2312" w:cs="仿宋_GB2312"/>
          <w:szCs w:val="32"/>
          <w:u w:val="none"/>
        </w:rPr>
        <w:t>贵州省中国旅行社有限责任</w:t>
      </w:r>
      <w:r>
        <w:rPr>
          <w:rFonts w:hint="eastAsia" w:ascii="仿宋_GB2312" w:hAnsi="仿宋_GB2312" w:eastAsia="仿宋_GB2312" w:cs="仿宋_GB2312"/>
          <w:color w:val="auto"/>
          <w:szCs w:val="32"/>
          <w:u w:val="none"/>
        </w:rPr>
        <w:t>公司</w:t>
      </w:r>
      <w:r>
        <w:rPr>
          <w:rFonts w:hint="eastAsia" w:ascii="仿宋_GB2312" w:hAnsi="仿宋_GB2312" w:eastAsia="仿宋_GB2312" w:cs="仿宋_GB2312"/>
          <w:szCs w:val="32"/>
          <w:lang w:eastAsia="zh-Hans"/>
        </w:rPr>
        <w:t>发放贷款950万元，</w:t>
      </w:r>
      <w:r>
        <w:rPr>
          <w:rFonts w:hint="eastAsia" w:ascii="仿宋_GB2312" w:hAnsi="仿宋_GB2312" w:eastAsia="仿宋_GB2312" w:cs="仿宋_GB2312"/>
          <w:szCs w:val="32"/>
          <w:lang w:val="en-US" w:eastAsia="zh-CN"/>
        </w:rPr>
        <w:t>保证人为付帅，抵押物为</w:t>
      </w:r>
      <w:r>
        <w:rPr>
          <w:rFonts w:hint="eastAsia" w:ascii="仿宋_GB2312" w:hAnsi="仿宋_GB2312" w:eastAsia="仿宋_GB2312" w:cs="仿宋_GB2312"/>
          <w:szCs w:val="32"/>
          <w:lang w:eastAsia="zh-Hans"/>
        </w:rPr>
        <w:t>秦亮名下位于贵阳市南明区翠微巷2A幢1-3层的商业用房。2022年12月，贵阳市南明区法院完成了本金950万元</w:t>
      </w:r>
      <w:r>
        <w:rPr>
          <w:rFonts w:hint="eastAsia" w:ascii="仿宋_GB2312" w:hAnsi="仿宋_GB2312" w:eastAsia="仿宋_GB2312" w:cs="仿宋_GB2312"/>
          <w:szCs w:val="32"/>
          <w:lang w:val="en-US" w:eastAsia="zh-CN"/>
        </w:rPr>
        <w:t>债权</w:t>
      </w:r>
      <w:r>
        <w:rPr>
          <w:rFonts w:hint="eastAsia" w:ascii="仿宋_GB2312" w:hAnsi="仿宋_GB2312" w:eastAsia="仿宋_GB2312" w:cs="仿宋_GB2312"/>
          <w:szCs w:val="32"/>
          <w:lang w:eastAsia="zh-Hans"/>
        </w:rPr>
        <w:t>的司法调解并出具了民事调解书</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eastAsia="zh-Hans"/>
        </w:rPr>
        <w:t>市交运集团未申请强制</w:t>
      </w:r>
      <w:bookmarkStart w:id="0" w:name="_GoBack"/>
      <w:bookmarkEnd w:id="0"/>
      <w:r>
        <w:rPr>
          <w:rFonts w:hint="eastAsia" w:ascii="仿宋_GB2312" w:hAnsi="仿宋_GB2312" w:eastAsia="仿宋_GB2312" w:cs="仿宋_GB2312"/>
          <w:szCs w:val="32"/>
          <w:lang w:eastAsia="zh-Hans"/>
        </w:rPr>
        <w:t>执行，执行时效将于2024年12月届满。</w:t>
      </w:r>
      <w:r>
        <w:rPr>
          <w:rFonts w:hint="eastAsia" w:ascii="仿宋_GB2312" w:hAnsi="仿宋_GB2312" w:eastAsia="仿宋_GB2312" w:cs="仿宋_GB2312"/>
          <w:szCs w:val="32"/>
          <w:lang w:val="en-US" w:eastAsia="zh-CN"/>
        </w:rPr>
        <w:t>截止2024年5月31日，该笔债权本息及其他费用合计为1326.524325万元。</w:t>
      </w:r>
    </w:p>
    <w:p>
      <w:pPr>
        <w:spacing w:line="570" w:lineRule="exact"/>
        <w:ind w:right="0" w:rightChars="0" w:firstLine="632" w:firstLineChars="200"/>
        <w:rPr>
          <w:rFonts w:hint="default" w:eastAsia="仿宋"/>
          <w:color w:val="auto"/>
          <w:lang w:val="en-US" w:eastAsia="zh-CN"/>
        </w:rPr>
      </w:pPr>
      <w:r>
        <w:rPr>
          <w:rFonts w:hint="eastAsia"/>
          <w:color w:val="auto"/>
          <w:lang w:val="en-US" w:eastAsia="zh-CN"/>
        </w:rPr>
        <w:t>上述金额如与银行</w:t>
      </w:r>
      <w:r>
        <w:rPr>
          <w:rFonts w:hint="eastAsia" w:ascii="仿宋_GB2312" w:hAnsi="仿宋_GB2312" w:eastAsia="仿宋_GB2312" w:cs="仿宋_GB2312"/>
          <w:color w:val="auto"/>
          <w:szCs w:val="32"/>
        </w:rPr>
        <w:t>借款合同</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相关法律文书计算结果不一致，以银行</w:t>
      </w:r>
      <w:r>
        <w:rPr>
          <w:rFonts w:hint="eastAsia" w:ascii="仿宋_GB2312" w:hAnsi="仿宋_GB2312" w:eastAsia="仿宋_GB2312" w:cs="仿宋_GB2312"/>
          <w:color w:val="auto"/>
          <w:szCs w:val="32"/>
        </w:rPr>
        <w:t>借款合同</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相关法律文书计算结果为准。</w:t>
      </w:r>
    </w:p>
    <w:p>
      <w:pPr>
        <w:spacing w:line="570" w:lineRule="exact"/>
        <w:ind w:right="0" w:rightChars="0" w:firstLine="632" w:firstLineChars="200"/>
        <w:rPr>
          <w:rFonts w:ascii="仿宋_GB2312" w:hAnsi="仿宋_GB2312" w:eastAsia="仿宋_GB2312" w:cs="仿宋_GB2312"/>
          <w:szCs w:val="32"/>
        </w:rPr>
      </w:pPr>
      <w:r>
        <w:rPr>
          <w:rFonts w:hint="eastAsia" w:ascii="仿宋_GB2312" w:hAnsi="仿宋_GB2312" w:eastAsia="仿宋_GB2312" w:cs="仿宋_GB2312"/>
          <w:szCs w:val="32"/>
          <w:lang w:eastAsia="zh-Hans"/>
        </w:rPr>
        <w:t>甲方对</w:t>
      </w:r>
      <w:r>
        <w:rPr>
          <w:rFonts w:hint="eastAsia" w:ascii="仿宋_GB2312" w:hAnsi="仿宋_GB2312" w:eastAsia="仿宋_GB2312" w:cs="仿宋_GB2312"/>
          <w:szCs w:val="32"/>
        </w:rPr>
        <w:t>贵州省中国旅行社有限责任公司</w:t>
      </w:r>
      <w:r>
        <w:rPr>
          <w:rFonts w:hint="eastAsia" w:ascii="仿宋_GB2312" w:hAnsi="仿宋_GB2312" w:eastAsia="仿宋_GB2312" w:cs="仿宋_GB2312"/>
          <w:szCs w:val="32"/>
          <w:lang w:eastAsia="zh-Hans"/>
        </w:rPr>
        <w:t>享有的债权,</w:t>
      </w:r>
      <w:r>
        <w:rPr>
          <w:rFonts w:hint="eastAsia" w:ascii="仿宋_GB2312" w:hAnsi="仿宋_GB2312" w:eastAsia="仿宋_GB2312" w:cs="仿宋_GB2312"/>
          <w:szCs w:val="32"/>
        </w:rPr>
        <w:t>详见附件《民事判决书》（（2022）黔0102民初11687号）及《民事调解书》（（2022）黔0102民初11688号）。</w:t>
      </w:r>
    </w:p>
    <w:p>
      <w:pPr>
        <w:spacing w:line="570" w:lineRule="exact"/>
        <w:ind w:right="0" w:rightChars="0" w:firstLine="632" w:firstLineChars="200"/>
        <w:rPr>
          <w:rFonts w:ascii="仿宋_GB2312" w:hAnsi="仿宋_GB2312" w:eastAsia="仿宋_GB2312" w:cs="仿宋_GB2312"/>
          <w:b/>
          <w:bCs/>
          <w:szCs w:val="32"/>
        </w:rPr>
      </w:pPr>
      <w:r>
        <w:rPr>
          <w:rFonts w:hint="eastAsia" w:ascii="仿宋_GB2312" w:hAnsi="仿宋_GB2312" w:eastAsia="仿宋_GB2312" w:cs="仿宋_GB2312"/>
          <w:szCs w:val="32"/>
        </w:rPr>
        <w:t>乙方已被告知并完全理解，标的资产可能发生变化（包括但不限于标的资产的数额可能会发生变化），乙方对此完全接受，且乙方保证并承诺不以此为理由要求撤销、变更或者确认本协议无效。</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第三条 转让价款及支付方式</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3.1</w:t>
      </w:r>
      <w:r>
        <w:rPr>
          <w:rFonts w:ascii="仿宋_GB2312" w:hAnsi="仿宋_GB2312" w:eastAsia="仿宋_GB2312" w:cs="仿宋_GB2312"/>
          <w:bCs/>
          <w:szCs w:val="32"/>
        </w:rPr>
        <w:t xml:space="preserve"> </w:t>
      </w:r>
      <w:r>
        <w:rPr>
          <w:rFonts w:hint="eastAsia" w:ascii="仿宋_GB2312" w:hAnsi="仿宋_GB2312" w:eastAsia="仿宋_GB2312" w:cs="仿宋_GB2312"/>
          <w:bCs/>
          <w:szCs w:val="32"/>
        </w:rPr>
        <w:t>转让价款</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乙方应向甲方支付转让价款共计：</w:t>
      </w:r>
    </w:p>
    <w:p>
      <w:pPr>
        <w:spacing w:line="570" w:lineRule="exact"/>
        <w:ind w:right="0" w:rightChars="0" w:firstLine="632" w:firstLineChars="200"/>
        <w:rPr>
          <w:rFonts w:ascii="仿宋_GB2312" w:hAnsi="仿宋_GB2312" w:eastAsia="仿宋_GB2312" w:cs="仿宋_GB2312"/>
          <w:bCs/>
          <w:szCs w:val="32"/>
          <w:u w:val="single"/>
        </w:rPr>
      </w:pPr>
      <w:r>
        <w:rPr>
          <w:rFonts w:hint="eastAsia" w:ascii="仿宋_GB2312" w:hAnsi="仿宋_GB2312" w:eastAsia="仿宋_GB2312" w:cs="仿宋_GB2312"/>
          <w:bCs/>
          <w:szCs w:val="32"/>
        </w:rPr>
        <w:t>人民币</w:t>
      </w:r>
      <w:r>
        <w:rPr>
          <w:rFonts w:ascii="仿宋_GB2312" w:hAnsi="仿宋_GB2312" w:eastAsia="仿宋_GB2312" w:cs="仿宋_GB2312"/>
          <w:bCs/>
          <w:szCs w:val="32"/>
        </w:rPr>
        <w:t>（大写）</w:t>
      </w:r>
      <w:r>
        <w:rPr>
          <w:rFonts w:hint="eastAsia" w:ascii="仿宋_GB2312" w:hAnsi="仿宋_GB2312" w:eastAsia="仿宋_GB2312" w:cs="仿宋_GB2312"/>
          <w:bCs/>
          <w:szCs w:val="32"/>
        </w:rPr>
        <w:t>：</w:t>
      </w:r>
      <w:r>
        <w:rPr>
          <w:rFonts w:hint="eastAsia" w:ascii="仿宋_GB2312" w:hAnsi="仿宋_GB2312" w:eastAsia="仿宋_GB2312" w:cs="仿宋_GB2312"/>
          <w:bCs/>
          <w:szCs w:val="32"/>
          <w:u w:val="single"/>
        </w:rPr>
        <w:t>xxx，（小写）：</w:t>
      </w:r>
      <w:r>
        <w:rPr>
          <w:rFonts w:ascii="Calibri" w:hAnsi="Calibri" w:eastAsia="仿宋_GB2312" w:cs="Calibri"/>
          <w:szCs w:val="32"/>
          <w:u w:val="single"/>
        </w:rPr>
        <w:t>¥</w:t>
      </w:r>
      <w:r>
        <w:rPr>
          <w:rFonts w:hint="eastAsia" w:ascii="仿宋_GB2312" w:hAnsi="仿宋_GB2312" w:eastAsia="仿宋_GB2312" w:cs="仿宋_GB2312"/>
          <w:bCs/>
          <w:szCs w:val="32"/>
          <w:u w:val="single"/>
        </w:rPr>
        <w:t>xxx</w:t>
      </w:r>
      <w:r>
        <w:rPr>
          <w:rFonts w:ascii="仿宋_GB2312" w:hAnsi="仿宋_GB2312" w:eastAsia="仿宋_GB2312" w:cs="仿宋_GB2312"/>
          <w:bCs/>
          <w:szCs w:val="32"/>
          <w:u w:val="single"/>
        </w:rPr>
        <w:t>元</w:t>
      </w:r>
      <w:r>
        <w:rPr>
          <w:rFonts w:ascii="仿宋_GB2312" w:hAnsi="仿宋_GB2312" w:eastAsia="仿宋_GB2312" w:cs="仿宋_GB2312"/>
          <w:bCs/>
          <w:szCs w:val="32"/>
        </w:rPr>
        <w:t>。</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3</w:t>
      </w:r>
      <w:r>
        <w:rPr>
          <w:rFonts w:ascii="仿宋_GB2312" w:hAnsi="仿宋_GB2312" w:eastAsia="仿宋_GB2312" w:cs="仿宋_GB2312"/>
          <w:bCs/>
          <w:szCs w:val="32"/>
        </w:rPr>
        <w:t xml:space="preserve">.2 </w:t>
      </w:r>
      <w:r>
        <w:rPr>
          <w:rFonts w:hint="eastAsia" w:ascii="仿宋_GB2312" w:hAnsi="仿宋_GB2312" w:eastAsia="仿宋_GB2312" w:cs="仿宋_GB2312"/>
          <w:bCs/>
          <w:szCs w:val="32"/>
        </w:rPr>
        <w:t>支付方式</w:t>
      </w:r>
    </w:p>
    <w:p>
      <w:pPr>
        <w:spacing w:line="570" w:lineRule="exact"/>
        <w:ind w:right="0" w:rightChars="0" w:firstLine="632" w:firstLineChars="200"/>
        <w:rPr>
          <w:rFonts w:hint="default" w:ascii="仿宋_GB2312" w:hAnsi="仿宋_GB2312" w:eastAsia="仿宋_GB2312" w:cs="仿宋_GB2312"/>
          <w:b w:val="0"/>
          <w:bCs/>
          <w:color w:val="auto"/>
          <w:szCs w:val="32"/>
          <w:u w:val="single"/>
          <w:lang w:val="en-US" w:eastAsia="zh-CN"/>
        </w:rPr>
      </w:pPr>
      <w:r>
        <w:rPr>
          <w:rFonts w:hint="eastAsia" w:ascii="仿宋_GB2312" w:hAnsi="仿宋_GB2312" w:eastAsia="仿宋_GB2312" w:cs="仿宋_GB2312"/>
          <w:bCs/>
          <w:szCs w:val="32"/>
        </w:rPr>
        <w:t>乙方前期支付的交易保证金</w:t>
      </w:r>
      <w:r>
        <w:rPr>
          <w:rFonts w:hint="eastAsia" w:ascii="仿宋_GB2312" w:hAnsi="仿宋_GB2312" w:eastAsia="仿宋_GB2312" w:cs="仿宋_GB2312"/>
          <w:szCs w:val="32"/>
        </w:rPr>
        <w:t>（大写）</w:t>
      </w:r>
      <w:r>
        <w:rPr>
          <w:rFonts w:hint="eastAsia" w:ascii="仿宋_GB2312" w:hAnsi="仿宋_GB2312" w:eastAsia="仿宋_GB2312" w:cs="仿宋_GB2312"/>
          <w:bCs/>
          <w:szCs w:val="32"/>
          <w:u w:val="single"/>
        </w:rPr>
        <w:t>xxx</w:t>
      </w:r>
      <w:r>
        <w:rPr>
          <w:rFonts w:hint="eastAsia" w:ascii="仿宋_GB2312" w:hAnsi="仿宋_GB2312" w:eastAsia="仿宋_GB2312" w:cs="仿宋_GB2312"/>
          <w:szCs w:val="32"/>
          <w:u w:val="single"/>
        </w:rPr>
        <w:t>（</w:t>
      </w:r>
      <w:r>
        <w:rPr>
          <w:rFonts w:ascii="Calibri" w:hAnsi="Calibri" w:eastAsia="仿宋_GB2312" w:cs="Calibri"/>
          <w:szCs w:val="32"/>
          <w:u w:val="single"/>
        </w:rPr>
        <w:t>¥</w:t>
      </w:r>
      <w:r>
        <w:rPr>
          <w:rFonts w:hint="eastAsia" w:ascii="仿宋_GB2312" w:hAnsi="仿宋_GB2312" w:eastAsia="仿宋_GB2312" w:cs="仿宋_GB2312"/>
          <w:bCs/>
          <w:szCs w:val="32"/>
          <w:u w:val="single"/>
        </w:rPr>
        <w:t>xxx</w:t>
      </w:r>
      <w:r>
        <w:rPr>
          <w:rFonts w:hint="eastAsia" w:ascii="仿宋_GB2312" w:hAnsi="仿宋_GB2312" w:eastAsia="仿宋_GB2312" w:cs="仿宋_GB2312"/>
          <w:szCs w:val="32"/>
          <w:u w:val="single"/>
        </w:rPr>
        <w:t>元）</w:t>
      </w:r>
      <w:r>
        <w:rPr>
          <w:rFonts w:hint="eastAsia" w:ascii="仿宋_GB2312" w:hAnsi="仿宋_GB2312" w:eastAsia="仿宋_GB2312" w:cs="仿宋_GB2312"/>
          <w:bCs/>
          <w:szCs w:val="32"/>
        </w:rPr>
        <w:t>直接转作部分交易价款。剩余尾款</w:t>
      </w:r>
      <w:r>
        <w:rPr>
          <w:rFonts w:hint="eastAsia" w:ascii="仿宋_GB2312" w:hAnsi="仿宋_GB2312" w:eastAsia="仿宋_GB2312" w:cs="仿宋_GB2312"/>
          <w:szCs w:val="32"/>
        </w:rPr>
        <w:t>（大写）</w:t>
      </w:r>
      <w:r>
        <w:rPr>
          <w:rFonts w:hint="eastAsia" w:ascii="仿宋_GB2312" w:hAnsi="仿宋_GB2312" w:eastAsia="仿宋_GB2312" w:cs="仿宋_GB2312"/>
          <w:bCs/>
          <w:szCs w:val="32"/>
          <w:u w:val="single"/>
        </w:rPr>
        <w:t>xxx</w:t>
      </w:r>
      <w:r>
        <w:rPr>
          <w:rFonts w:hint="eastAsia" w:ascii="仿宋_GB2312" w:hAnsi="仿宋_GB2312" w:eastAsia="仿宋_GB2312" w:cs="仿宋_GB2312"/>
          <w:szCs w:val="32"/>
          <w:u w:val="single"/>
        </w:rPr>
        <w:t>（</w:t>
      </w:r>
      <w:r>
        <w:rPr>
          <w:rFonts w:ascii="Calibri" w:hAnsi="Calibri" w:eastAsia="仿宋_GB2312" w:cs="Calibri"/>
          <w:szCs w:val="32"/>
          <w:u w:val="single"/>
        </w:rPr>
        <w:t>¥</w:t>
      </w:r>
      <w:r>
        <w:rPr>
          <w:rFonts w:hint="eastAsia" w:ascii="仿宋_GB2312" w:hAnsi="仿宋_GB2312" w:eastAsia="仿宋_GB2312" w:cs="仿宋_GB2312"/>
          <w:bCs/>
          <w:szCs w:val="32"/>
          <w:u w:val="single"/>
        </w:rPr>
        <w:t>xxx元）</w:t>
      </w:r>
      <w:r>
        <w:rPr>
          <w:rFonts w:hint="eastAsia" w:ascii="仿宋_GB2312" w:hAnsi="仿宋_GB2312" w:eastAsia="仿宋_GB2312" w:cs="仿宋_GB2312"/>
          <w:bCs/>
          <w:szCs w:val="32"/>
        </w:rPr>
        <w:t>，乙方应于本协议生效之日起</w:t>
      </w:r>
      <w:r>
        <w:rPr>
          <w:rFonts w:hint="eastAsia" w:ascii="仿宋_GB2312" w:hAnsi="仿宋_GB2312" w:eastAsia="仿宋_GB2312" w:cs="仿宋_GB2312"/>
          <w:bCs/>
          <w:szCs w:val="32"/>
          <w:u w:val="single"/>
        </w:rPr>
        <w:t xml:space="preserve"> 5</w:t>
      </w:r>
      <w:r>
        <w:rPr>
          <w:rFonts w:ascii="仿宋_GB2312" w:hAnsi="仿宋_GB2312" w:eastAsia="仿宋_GB2312" w:cs="仿宋_GB2312"/>
          <w:bCs/>
          <w:szCs w:val="32"/>
          <w:u w:val="single"/>
        </w:rPr>
        <w:t xml:space="preserve"> </w:t>
      </w:r>
      <w:r>
        <w:rPr>
          <w:rFonts w:hint="eastAsia" w:ascii="仿宋_GB2312" w:hAnsi="仿宋_GB2312" w:eastAsia="仿宋_GB2312" w:cs="仿宋_GB2312"/>
          <w:bCs/>
          <w:szCs w:val="32"/>
        </w:rPr>
        <w:t>个工作日内一次性支付至甲方指定账户。</w:t>
      </w:r>
      <w:r>
        <w:rPr>
          <w:rFonts w:hint="eastAsia" w:ascii="仿宋_GB2312" w:hAnsi="仿宋_GB2312" w:eastAsia="仿宋_GB2312" w:cs="仿宋_GB2312"/>
          <w:b w:val="0"/>
          <w:bCs/>
          <w:color w:val="auto"/>
          <w:szCs w:val="32"/>
          <w:lang w:val="en-US" w:eastAsia="zh-CN"/>
        </w:rPr>
        <w:t>乙方支付转让价款涉及的相关费用由乙方自行承担。</w:t>
      </w:r>
    </w:p>
    <w:p>
      <w:pPr>
        <w:spacing w:line="570" w:lineRule="exact"/>
        <w:ind w:right="0" w:rightChars="0" w:firstLine="632" w:firstLineChars="200"/>
        <w:rPr>
          <w:b/>
          <w:bCs/>
        </w:rPr>
      </w:pPr>
      <w:r>
        <w:rPr>
          <w:rFonts w:hint="eastAsia"/>
          <w:b/>
          <w:bCs/>
        </w:rPr>
        <w:t>甲方收到</w:t>
      </w:r>
      <w:r>
        <w:rPr>
          <w:rFonts w:hint="eastAsia" w:ascii="仿宋_GB2312" w:hAnsi="仿宋_GB2312" w:eastAsia="仿宋_GB2312" w:cs="仿宋_GB2312"/>
          <w:b/>
          <w:bCs/>
          <w:szCs w:val="32"/>
        </w:rPr>
        <w:t>乙方支付的转让价款后，向乙方开具</w:t>
      </w:r>
      <w:r>
        <w:rPr>
          <w:rFonts w:hint="eastAsia"/>
          <w:b/>
          <w:bCs/>
        </w:rPr>
        <w:t>收款收据。</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3.</w:t>
      </w:r>
      <w:r>
        <w:rPr>
          <w:rFonts w:ascii="仿宋_GB2312" w:hAnsi="仿宋_GB2312" w:eastAsia="仿宋_GB2312" w:cs="仿宋_GB2312"/>
          <w:bCs/>
          <w:szCs w:val="32"/>
        </w:rPr>
        <w:t>3</w:t>
      </w:r>
      <w:r>
        <w:rPr>
          <w:rFonts w:hint="eastAsia" w:ascii="仿宋_GB2312" w:hAnsi="仿宋_GB2312" w:eastAsia="仿宋_GB2312" w:cs="仿宋_GB2312"/>
          <w:bCs/>
          <w:szCs w:val="32"/>
        </w:rPr>
        <w:t>甲方指定账户信息如下：</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账户名称：贵阳市公共交通投资运营集团有限公司</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开 户 行：贵阳银行股份有限公司观山湖支行</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 xml:space="preserve">账  </w:t>
      </w:r>
      <w:r>
        <w:rPr>
          <w:rFonts w:ascii="仿宋_GB2312" w:hAnsi="仿宋_GB2312" w:eastAsia="仿宋_GB2312" w:cs="仿宋_GB2312"/>
          <w:bCs/>
          <w:szCs w:val="32"/>
        </w:rPr>
        <w:t xml:space="preserve">  </w:t>
      </w:r>
      <w:r>
        <w:rPr>
          <w:rFonts w:hint="eastAsia" w:ascii="仿宋_GB2312" w:hAnsi="仿宋_GB2312" w:eastAsia="仿宋_GB2312" w:cs="仿宋_GB2312"/>
          <w:bCs/>
          <w:szCs w:val="32"/>
        </w:rPr>
        <w:t>号：</w:t>
      </w:r>
      <w:r>
        <w:rPr>
          <w:rFonts w:ascii="仿宋_GB2312" w:hAnsi="仿宋_GB2312" w:eastAsia="仿宋_GB2312" w:cs="仿宋_GB2312"/>
          <w:bCs/>
          <w:szCs w:val="32"/>
        </w:rPr>
        <w:t>11080123670014358</w:t>
      </w:r>
      <w:r>
        <w:rPr>
          <w:rFonts w:hint="eastAsia" w:ascii="仿宋_GB2312" w:hAnsi="仿宋_GB2312" w:eastAsia="仿宋_GB2312" w:cs="仿宋_GB2312"/>
          <w:bCs/>
          <w:szCs w:val="32"/>
        </w:rPr>
        <w:t xml:space="preserve"> </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第四条 债权凭证的移交</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 甲方在收到全部转让价款后30日内在甲方所在地向乙方移交转让标的项下债权凭证。债权凭证包括但不限于：</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4.1.1 主合同及其修改、补充或者其他的原件。</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4.1.2 担保合同及其修改、补充或者其他的原件。</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4.1.3 借据原件。</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4.1.4 截至评估基准日累计欠息清单。</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4.1.5 与主张和行使债权有关的法律文书的原件。</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4.1.6 与主张和行使债权有关的其他档案资料。</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4.1.7 资产所有权凭证。</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4.2 上述债权凭证以甲方从原债权人处接收的为准。确实无法提供原件的相关凭证，可移交复印件。如需原债权人在其复印件上加盖原债权人的专用章，由乙方负责对接原债权人，甲方给予必要的协调配合。乙方因诉讼等原因需要向相关部门出具原件的，甲方需给予必要的协调配合。对于主张和行使债权所必需的档案资料（除债权凭证以外），如原件确已缺失且无法找回的，甲方可向乙方书面说明情况，并加盖甲方公章。</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4.3</w:t>
      </w:r>
      <w:r>
        <w:rPr>
          <w:rFonts w:hint="eastAsia" w:ascii="仿宋_GB2312" w:hAnsi="仿宋_GB2312" w:eastAsia="仿宋_GB2312" w:cs="仿宋_GB2312"/>
          <w:bCs/>
          <w:szCs w:val="32"/>
          <w:lang w:val="en-US" w:eastAsia="zh-CN"/>
        </w:rPr>
        <w:t xml:space="preserve"> </w:t>
      </w:r>
      <w:r>
        <w:rPr>
          <w:rFonts w:hint="eastAsia" w:ascii="仿宋_GB2312" w:hAnsi="仿宋_GB2312" w:eastAsia="仿宋_GB2312" w:cs="仿宋_GB2312"/>
          <w:bCs/>
          <w:szCs w:val="32"/>
        </w:rPr>
        <w:t>双方应指定工作人员共同清点、审查和核对债权凭证及其他相关资产文件，制作《档案移交资料清单》，双方核验无误后签章确认。</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第五条 债权及资产转让的效力</w:t>
      </w:r>
    </w:p>
    <w:p>
      <w:pPr>
        <w:spacing w:line="570" w:lineRule="exact"/>
        <w:ind w:right="0" w:rightChars="0" w:firstLine="632" w:firstLineChars="200"/>
      </w:pPr>
      <w:r>
        <w:rPr>
          <w:rFonts w:hint="eastAsia" w:ascii="仿宋_GB2312" w:hAnsi="仿宋_GB2312" w:eastAsia="仿宋_GB2312" w:cs="仿宋_GB2312"/>
          <w:bCs/>
          <w:szCs w:val="32"/>
          <w:lang w:val="en-US" w:eastAsia="zh-CN"/>
        </w:rPr>
        <w:t xml:space="preserve">5.1 </w:t>
      </w:r>
      <w:r>
        <w:rPr>
          <w:rFonts w:hint="eastAsia" w:ascii="仿宋_GB2312" w:hAnsi="仿宋_GB2312" w:eastAsia="仿宋_GB2312" w:cs="仿宋_GB2312"/>
          <w:bCs/>
          <w:szCs w:val="32"/>
        </w:rPr>
        <w:t>权利转移日后，乙方成为转让标的项下债权人或者资产所有权人，依法根据本协议的约定享有和行使自</w:t>
      </w:r>
      <w:r>
        <w:rPr>
          <w:rFonts w:hint="eastAsia" w:ascii="仿宋_GB2312" w:hAnsi="仿宋_GB2312" w:eastAsia="仿宋_GB2312" w:cs="仿宋_GB2312"/>
          <w:szCs w:val="32"/>
        </w:rPr>
        <w:t>权利转移日</w:t>
      </w:r>
      <w:r>
        <w:rPr>
          <w:rFonts w:hint="eastAsia" w:ascii="仿宋_GB2312" w:hAnsi="仿宋_GB2312" w:eastAsia="仿宋_GB2312" w:cs="仿宋_GB2312"/>
          <w:bCs/>
          <w:szCs w:val="32"/>
        </w:rPr>
        <w:t>起（含当日）与转让标的项下债权有关的一切主权利及其附属权益，乙方</w:t>
      </w:r>
      <w:r>
        <w:rPr>
          <w:rFonts w:hint="eastAsia" w:ascii="仿宋_GB2312" w:hAnsi="仿宋_GB2312" w:eastAsia="仿宋_GB2312" w:cs="仿宋_GB2312"/>
          <w:bCs/>
          <w:szCs w:val="32"/>
          <w:lang w:val="en-US" w:eastAsia="zh-CN"/>
        </w:rPr>
        <w:t>整体</w:t>
      </w:r>
      <w:r>
        <w:rPr>
          <w:rFonts w:hint="eastAsia" w:ascii="仿宋_GB2312" w:hAnsi="仿宋_GB2312" w:eastAsia="仿宋_GB2312" w:cs="仿宋_GB2312"/>
          <w:bCs/>
          <w:szCs w:val="32"/>
        </w:rPr>
        <w:t>承受转让标的的所有权利、义务、风险、损失、瑕疵、责任。</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第六条 债权转让通知</w:t>
      </w:r>
    </w:p>
    <w:p>
      <w:pPr>
        <w:spacing w:line="570" w:lineRule="exact"/>
        <w:ind w:right="0" w:rightChars="0" w:firstLine="632" w:firstLineChars="200"/>
        <w:rPr>
          <w:rFonts w:ascii="仿宋_GB2312" w:hAnsi="仿宋_GB2312" w:eastAsia="仿宋_GB2312" w:cs="仿宋_GB2312"/>
          <w:bCs/>
          <w:color w:val="auto"/>
          <w:szCs w:val="32"/>
        </w:rPr>
      </w:pPr>
      <w:r>
        <w:rPr>
          <w:rFonts w:hint="eastAsia" w:ascii="仿宋_GB2312" w:hAnsi="仿宋_GB2312" w:eastAsia="仿宋_GB2312" w:cs="仿宋_GB2312"/>
          <w:bCs/>
          <w:szCs w:val="32"/>
        </w:rPr>
        <w:t xml:space="preserve">6.1 </w:t>
      </w:r>
      <w:r>
        <w:rPr>
          <w:rFonts w:hint="eastAsia" w:ascii="仿宋_GB2312" w:hAnsi="仿宋_GB2312" w:eastAsia="仿宋_GB2312" w:cs="仿宋_GB2312"/>
          <w:szCs w:val="32"/>
        </w:rPr>
        <w:t>权利转移日</w:t>
      </w:r>
      <w:r>
        <w:rPr>
          <w:rFonts w:hint="eastAsia" w:ascii="仿宋_GB2312" w:hAnsi="仿宋_GB2312" w:eastAsia="仿宋_GB2312" w:cs="仿宋_GB2312"/>
          <w:bCs/>
          <w:szCs w:val="32"/>
        </w:rPr>
        <w:t>后20个工作日内，甲、乙双方应在全国或者省级以上有影响的媒体上通过联合公告方式通知债务人、借款人、担保人及其他相关方有关债权转让暨催收事宜，</w:t>
      </w:r>
      <w:r>
        <w:rPr>
          <w:rFonts w:hint="eastAsia" w:ascii="仿宋_GB2312" w:hAnsi="仿宋_GB2312" w:eastAsia="仿宋_GB2312" w:cs="仿宋_GB2312"/>
          <w:bCs/>
          <w:color w:val="auto"/>
          <w:szCs w:val="32"/>
        </w:rPr>
        <w:t>公告费用由乙方承担。</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6.2 乙方通过诉讼手段追偿转让标的项下债权时，如果人民法院不支持前款通知债务人、借款人、担保人及其他相关方的，甲方可配合乙方的合理要求，按照人民法院认可的方式将债权转让事项协助乙方再次通知债务人、借款人、担保人及其他相关方，再次通知费用由乙方承担。</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6.3 乙方进一步确认，甲方的通知义务只限于进行上述适当的通知行为，在甲、乙双方履行通知义务后，无论债务人、担保人对本债权资产转让的通知是否签收和确认，甲、乙双方之间转让的债权资产行为仍然有效。</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第七条 过渡期管理</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7.1 在过渡期内，甲方按照乙方的书面申请对标的资产采取必要的管理措施，包括但不限于催告、启动诉讼或者执行程序、提出债权申请，标的资产的维权、风险、责任、税费和损失由乙方承担，标的资产的收益亦由乙方享有。</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7.2 在过渡期内，甲方按照乙方书面申请对标的资产采取各类管理和维护措施导致损失或法律风险的，所有后果由乙方承担。由此产生的相关税、费（包括但不限于案件受理费、诉讼保全费、申请执行费、执行中实际支出的费用、律师费及工商、房产、土地查询费等其他费用）由乙方承担。</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7.3 在过渡期内，甲方收到现金或者非现金收益，由甲方扣除过渡期内应由乙方承担的而已由甲方垫付的费用后，在交割日后的20个工作日内转交乙方。</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第八条 甲方的权利义务</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8.1 及时、足额地收取转让价款。</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8.2 按照本协议约定移交债权凭证。</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8.3 应乙方的合理要求，甲方应在法律允许范围内协助乙方变更诉讼（执行）主体及其它相关事宜手续。</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8.4 协助乙方办理产权过户登记手续。</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第九条 乙方的权利义务</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9.1 自权利转移日起，乙方享有转让标的项下债权资产有关的一切主权利及其附属权益。</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9.2 依约、足额地支付转让价款。</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9.3 按照本协议约定核验并签收债权凭证。</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9.4 如该债权资产已由甲方委托相关律师事务所代理诉讼或执行的，乙方不负责承继该委托代理合同项下的任何权利义务。</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第十条 风险揭示</w:t>
      </w:r>
    </w:p>
    <w:p>
      <w:pPr>
        <w:spacing w:line="570" w:lineRule="exact"/>
        <w:ind w:right="316" w:firstLine="632" w:firstLineChars="200"/>
        <w:rPr>
          <w:rFonts w:ascii="仿宋_GB2312" w:hAnsi="仿宋_GB2312" w:eastAsia="仿宋_GB2312" w:cs="仿宋_GB2312"/>
          <w:b/>
          <w:bCs/>
          <w:szCs w:val="32"/>
        </w:rPr>
      </w:pPr>
      <w:r>
        <w:rPr>
          <w:rFonts w:hint="eastAsia" w:ascii="仿宋_GB2312" w:hAnsi="仿宋_GB2312" w:eastAsia="仿宋_GB2312" w:cs="仿宋_GB2312"/>
          <w:b/>
          <w:bCs/>
          <w:szCs w:val="32"/>
        </w:rPr>
        <w:t>10.1 乙方已被告知并完全理解，乙方受让债权资产后，由于相关法律、法规、规章、政策限制，导致乙方能够行使的标的债权数额可能小于本协议（含附件）中列明的标的债权资产数额。</w:t>
      </w:r>
    </w:p>
    <w:p>
      <w:pPr>
        <w:spacing w:line="570" w:lineRule="exact"/>
        <w:ind w:right="316" w:firstLine="632" w:firstLineChars="200"/>
        <w:rPr>
          <w:rFonts w:ascii="仿宋_GB2312" w:hAnsi="仿宋_GB2312" w:eastAsia="仿宋_GB2312" w:cs="仿宋_GB2312"/>
          <w:b/>
          <w:bCs/>
          <w:szCs w:val="32"/>
        </w:rPr>
      </w:pPr>
      <w:r>
        <w:rPr>
          <w:rFonts w:hint="eastAsia" w:ascii="仿宋_GB2312" w:hAnsi="仿宋_GB2312" w:eastAsia="仿宋_GB2312" w:cs="仿宋_GB2312"/>
          <w:b/>
          <w:bCs/>
          <w:szCs w:val="32"/>
        </w:rPr>
        <w:t>乙方已被告知并完全理解，乙方受让标的债权资产后，对该标的债权资产产生的利息、罚息、复利的请求权，乙方可能无法继续享有。</w:t>
      </w:r>
    </w:p>
    <w:p>
      <w:pPr>
        <w:spacing w:line="570" w:lineRule="exact"/>
        <w:ind w:right="316" w:firstLine="632" w:firstLineChars="200"/>
        <w:rPr>
          <w:rFonts w:ascii="仿宋_GB2312" w:hAnsi="仿宋_GB2312" w:eastAsia="仿宋_GB2312" w:cs="仿宋_GB2312"/>
          <w:b/>
          <w:bCs/>
          <w:szCs w:val="32"/>
        </w:rPr>
      </w:pPr>
      <w:r>
        <w:rPr>
          <w:rFonts w:hint="eastAsia" w:ascii="仿宋_GB2312" w:hAnsi="仿宋_GB2312" w:eastAsia="仿宋_GB2312" w:cs="仿宋_GB2312"/>
          <w:b/>
          <w:bCs/>
          <w:szCs w:val="32"/>
        </w:rPr>
        <w:t>10.2 乙方已被告知并完全理解，甲方转让给乙方的标的债权资产，可能存在着瑕疵或尚未发现的缺陷将导致乙方预期利益无法实现。乙方受让的标的债权资产可能存在的瑕疵或缺陷包括但不限于下列一项或多项：</w:t>
      </w:r>
    </w:p>
    <w:p>
      <w:pPr>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10.2.1 与标的债权相关的债务人和/或担保人和/或第三方可能存在破产、被解散、被注销、被撤销、被关闭、被吊销、歇业、下落不明以及其他主体存续性瑕疵等情形。</w:t>
      </w:r>
    </w:p>
    <w:p>
      <w:pPr>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10.2.2 标的债权可能存在已超过诉讼时效、丧失相关的法定期间、因其他原因已部分消灭或不能被强制执行的情形。</w:t>
      </w:r>
    </w:p>
    <w:p>
      <w:pPr>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10.2.3 标的债权可能存在未生效、无效或被撤销的情形。</w:t>
      </w:r>
    </w:p>
    <w:p>
      <w:pPr>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10.2.4 标的债权文件对于标的债权的行使可能存在不完整、原件缺失或内容冲突等相关情形。</w:t>
      </w:r>
    </w:p>
    <w:p>
      <w:pPr>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w:t>
      </w:r>
      <w:r>
        <w:rPr>
          <w:rFonts w:ascii="仿宋_GB2312" w:hAnsi="仿宋_GB2312" w:eastAsia="仿宋_GB2312" w:cs="仿宋_GB2312"/>
          <w:szCs w:val="32"/>
        </w:rPr>
        <w:t>5</w:t>
      </w:r>
      <w:r>
        <w:rPr>
          <w:rFonts w:hint="eastAsia" w:ascii="仿宋_GB2312" w:hAnsi="仿宋_GB2312" w:eastAsia="仿宋_GB2312" w:cs="仿宋_GB2312"/>
          <w:szCs w:val="32"/>
        </w:rPr>
        <w:t xml:space="preserve"> 担保合同可能存在约定主债权未经担保人同意不可转让或担保人只对特定债权人承担担保责任的情形。</w:t>
      </w:r>
    </w:p>
    <w:p>
      <w:pPr>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w:t>
      </w:r>
      <w:r>
        <w:rPr>
          <w:rFonts w:ascii="仿宋_GB2312" w:hAnsi="仿宋_GB2312" w:eastAsia="仿宋_GB2312" w:cs="仿宋_GB2312"/>
          <w:szCs w:val="32"/>
        </w:rPr>
        <w:t>6</w:t>
      </w:r>
      <w:r>
        <w:rPr>
          <w:rFonts w:hint="eastAsia" w:ascii="仿宋_GB2312" w:hAnsi="仿宋_GB2312" w:eastAsia="仿宋_GB2312" w:cs="仿宋_GB2312"/>
          <w:szCs w:val="32"/>
        </w:rPr>
        <w:t xml:space="preserve"> 担保物、抵债资产可能发生灭失、毁损或存在欠缴税费、无相关权属证明、无法办理权属变更手续、不能实际占有、丧失使用价值或其他减损担保物、抵债资产价值的相关情形。</w:t>
      </w:r>
    </w:p>
    <w:p>
      <w:pPr>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w:t>
      </w:r>
      <w:r>
        <w:rPr>
          <w:rFonts w:ascii="仿宋_GB2312" w:hAnsi="仿宋_GB2312" w:eastAsia="仿宋_GB2312" w:cs="仿宋_GB2312"/>
          <w:szCs w:val="32"/>
        </w:rPr>
        <w:t>7</w:t>
      </w:r>
      <w:r>
        <w:rPr>
          <w:rFonts w:hint="eastAsia" w:ascii="仿宋_GB2312" w:hAnsi="仿宋_GB2312" w:eastAsia="仿宋_GB2312" w:cs="仿宋_GB2312"/>
          <w:szCs w:val="32"/>
        </w:rPr>
        <w:t xml:space="preserve"> 涉诉标的债权可能存在败诉、不能变更诉讼主体、执行主体等诉讼风险。</w:t>
      </w:r>
    </w:p>
    <w:p>
      <w:pPr>
        <w:pStyle w:val="2"/>
        <w:spacing w:line="570" w:lineRule="exact"/>
        <w:ind w:right="316"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10.2.8 标的债权可能存在欠缴各种诉讼费用的情形。</w:t>
      </w:r>
    </w:p>
    <w:p>
      <w:pPr>
        <w:pStyle w:val="2"/>
        <w:spacing w:line="570" w:lineRule="exact"/>
        <w:ind w:right="316" w:firstLine="632" w:firstLineChars="200"/>
        <w:rPr>
          <w:rFonts w:ascii="仿宋_GB2312" w:hAnsi="仿宋_GB2312" w:eastAsia="仿宋_GB2312" w:cs="仿宋_GB2312"/>
          <w:b/>
          <w:bCs/>
          <w:szCs w:val="32"/>
        </w:rPr>
      </w:pPr>
      <w:r>
        <w:rPr>
          <w:rFonts w:hint="eastAsia" w:ascii="仿宋_GB2312" w:hAnsi="仿宋_GB2312" w:eastAsia="仿宋_GB2312" w:cs="仿宋_GB2312"/>
          <w:b/>
          <w:bCs/>
          <w:szCs w:val="32"/>
        </w:rPr>
        <w:t>10.</w:t>
      </w:r>
      <w:r>
        <w:rPr>
          <w:rFonts w:ascii="仿宋_GB2312" w:hAnsi="仿宋_GB2312" w:eastAsia="仿宋_GB2312" w:cs="仿宋_GB2312"/>
          <w:b/>
          <w:bCs/>
          <w:szCs w:val="32"/>
        </w:rPr>
        <w:t>3</w:t>
      </w:r>
      <w:r>
        <w:rPr>
          <w:rFonts w:hint="eastAsia" w:ascii="仿宋_GB2312" w:hAnsi="仿宋_GB2312" w:eastAsia="仿宋_GB2312" w:cs="仿宋_GB2312"/>
          <w:b/>
          <w:bCs/>
          <w:szCs w:val="32"/>
        </w:rPr>
        <w:t xml:space="preserve"> 乙方已被告知并完全理解，其受让的标的债权，可能因存在计算误差或其他原因，从而导致乙方实际接收的债权金额与本协议约定的债权金额以及本协议附件中所列债权金额不完全一致。</w:t>
      </w:r>
    </w:p>
    <w:p>
      <w:pPr>
        <w:pStyle w:val="2"/>
        <w:spacing w:line="570" w:lineRule="exact"/>
        <w:ind w:right="316" w:firstLine="632" w:firstLineChars="200"/>
        <w:rPr>
          <w:rFonts w:hint="eastAsia" w:ascii="仿宋_GB2312" w:hAnsi="仿宋_GB2312" w:eastAsia="仿宋_GB2312" w:cs="仿宋_GB2312"/>
          <w:b/>
          <w:bCs/>
          <w:szCs w:val="32"/>
        </w:rPr>
      </w:pPr>
      <w:r>
        <w:rPr>
          <w:rFonts w:hint="eastAsia" w:ascii="仿宋_GB2312" w:hAnsi="仿宋_GB2312" w:eastAsia="仿宋_GB2312" w:cs="仿宋_GB2312"/>
          <w:b/>
          <w:bCs/>
          <w:szCs w:val="32"/>
        </w:rPr>
        <w:t>10.</w:t>
      </w:r>
      <w:r>
        <w:rPr>
          <w:rFonts w:ascii="仿宋_GB2312" w:hAnsi="仿宋_GB2312" w:eastAsia="仿宋_GB2312" w:cs="仿宋_GB2312"/>
          <w:b/>
          <w:bCs/>
          <w:szCs w:val="32"/>
        </w:rPr>
        <w:t>4</w:t>
      </w:r>
      <w:r>
        <w:rPr>
          <w:rFonts w:hint="eastAsia" w:ascii="仿宋_GB2312" w:hAnsi="仿宋_GB2312" w:eastAsia="仿宋_GB2312" w:cs="仿宋_GB2312"/>
          <w:b/>
          <w:bCs/>
          <w:szCs w:val="32"/>
        </w:rPr>
        <w:t xml:space="preserve"> 乙方已知晓本协议交易标的中，一是本金400万元</w:t>
      </w:r>
      <w:r>
        <w:rPr>
          <w:rFonts w:hint="eastAsia" w:ascii="仿宋_GB2312" w:hAnsi="仿宋_GB2312" w:eastAsia="仿宋_GB2312" w:cs="仿宋_GB2312"/>
          <w:b/>
          <w:bCs/>
          <w:szCs w:val="32"/>
          <w:lang w:val="en-US" w:eastAsia="zh-CN"/>
        </w:rPr>
        <w:t>债权</w:t>
      </w:r>
      <w:r>
        <w:rPr>
          <w:rFonts w:hint="eastAsia" w:ascii="仿宋_GB2312" w:hAnsi="仿宋_GB2312" w:eastAsia="仿宋_GB2312" w:cs="仿宋_GB2312"/>
          <w:b/>
          <w:bCs/>
          <w:szCs w:val="32"/>
        </w:rPr>
        <w:t>：2024年3月，贵阳市南明区人民法院出具了《执行裁定书》，在执行划拨154800元后裁定终结(2022)黔0102民初11687号民事判决书的本次执行程序</w:t>
      </w:r>
      <w:r>
        <w:rPr>
          <w:rFonts w:hint="eastAsia" w:ascii="仿宋_GB2312" w:hAnsi="仿宋_GB2312" w:eastAsia="仿宋_GB2312" w:cs="仿宋_GB2312"/>
          <w:b/>
          <w:bCs/>
          <w:szCs w:val="32"/>
          <w:lang w:eastAsia="zh-CN"/>
        </w:rPr>
        <w:t>；154800元优先扣减该笔债权的诉讼费、保全费及部分利息。</w:t>
      </w:r>
      <w:r>
        <w:rPr>
          <w:rFonts w:hint="eastAsia" w:ascii="仿宋_GB2312" w:hAnsi="仿宋_GB2312" w:eastAsia="仿宋_GB2312" w:cs="仿宋_GB2312"/>
          <w:b/>
          <w:bCs/>
          <w:szCs w:val="32"/>
        </w:rPr>
        <w:t>二是本金950万元</w:t>
      </w:r>
      <w:r>
        <w:rPr>
          <w:rFonts w:hint="eastAsia" w:ascii="仿宋_GB2312" w:hAnsi="仿宋_GB2312" w:eastAsia="仿宋_GB2312" w:cs="仿宋_GB2312"/>
          <w:b/>
          <w:bCs/>
          <w:szCs w:val="32"/>
          <w:lang w:val="en-US" w:eastAsia="zh-CN"/>
        </w:rPr>
        <w:t>债权</w:t>
      </w:r>
      <w:r>
        <w:rPr>
          <w:rFonts w:hint="eastAsia" w:ascii="仿宋_GB2312" w:hAnsi="仿宋_GB2312" w:eastAsia="仿宋_GB2312" w:cs="仿宋_GB2312"/>
          <w:b/>
          <w:bCs/>
          <w:szCs w:val="32"/>
        </w:rPr>
        <w:t>：2022年12月，贵阳市南明区法院完成了债权本金950万元项目的司法调解并出具了民事调解书，市交运集团未申请强制执行，执行时效将于2024年12月届满。</w:t>
      </w:r>
    </w:p>
    <w:p>
      <w:pPr>
        <w:pStyle w:val="2"/>
        <w:spacing w:line="570" w:lineRule="exact"/>
        <w:ind w:right="316" w:firstLine="632" w:firstLineChars="200"/>
        <w:rPr>
          <w:rFonts w:hint="eastAsia" w:ascii="仿宋_GB2312" w:hAnsi="仿宋_GB2312" w:eastAsia="仿宋_GB2312" w:cs="仿宋_GB2312"/>
          <w:b/>
          <w:bCs/>
          <w:szCs w:val="32"/>
        </w:rPr>
      </w:pPr>
      <w:r>
        <w:rPr>
          <w:rFonts w:hint="eastAsia" w:ascii="仿宋_GB2312" w:hAnsi="仿宋_GB2312" w:eastAsia="仿宋_GB2312" w:cs="仿宋_GB2312"/>
          <w:b/>
          <w:bCs/>
          <w:szCs w:val="32"/>
        </w:rPr>
        <w:t>1</w:t>
      </w:r>
      <w:r>
        <w:rPr>
          <w:rFonts w:ascii="仿宋_GB2312" w:hAnsi="仿宋_GB2312" w:eastAsia="仿宋_GB2312" w:cs="仿宋_GB2312"/>
          <w:b/>
          <w:bCs/>
          <w:szCs w:val="32"/>
        </w:rPr>
        <w:t>0.5</w:t>
      </w:r>
      <w:r>
        <w:rPr>
          <w:rFonts w:hint="eastAsia" w:ascii="仿宋_GB2312" w:hAnsi="仿宋_GB2312" w:eastAsia="仿宋_GB2312" w:cs="仿宋_GB2312"/>
          <w:b/>
          <w:bCs/>
          <w:szCs w:val="32"/>
        </w:rPr>
        <w:t>乙方已被告知、仔细阅读并完全理解本合同及其附件揭示的风险，除本协议另有约定外，自愿承担不能获得相应预期利益的后果。</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第十一条 税、费承担</w:t>
      </w:r>
    </w:p>
    <w:p>
      <w:pPr>
        <w:spacing w:line="570" w:lineRule="exact"/>
        <w:ind w:right="0" w:rightChars="0" w:firstLine="632" w:firstLineChars="200"/>
        <w:rPr>
          <w:rFonts w:hint="eastAsia" w:ascii="仿宋_GB2312" w:hAnsi="仿宋_GB2312" w:eastAsia="仿宋_GB2312" w:cs="仿宋_GB2312"/>
          <w:bCs/>
          <w:color w:val="auto"/>
          <w:szCs w:val="32"/>
          <w:lang w:val="en-US" w:eastAsia="zh-CN"/>
        </w:rPr>
      </w:pPr>
      <w:r>
        <w:rPr>
          <w:rFonts w:hint="eastAsia" w:ascii="仿宋_GB2312" w:hAnsi="仿宋_GB2312" w:eastAsia="仿宋_GB2312" w:cs="仿宋_GB2312"/>
          <w:bCs/>
          <w:color w:val="auto"/>
          <w:szCs w:val="32"/>
          <w:lang w:val="en-US" w:eastAsia="zh-CN"/>
        </w:rPr>
        <w:t xml:space="preserve">11.1 </w:t>
      </w:r>
      <w:r>
        <w:rPr>
          <w:rFonts w:hint="eastAsia" w:ascii="仿宋_GB2312" w:hAnsi="仿宋_GB2312" w:eastAsia="仿宋_GB2312" w:cs="仿宋_GB2312"/>
          <w:bCs/>
          <w:color w:val="auto"/>
          <w:szCs w:val="32"/>
          <w:lang w:eastAsia="zh-Hans"/>
        </w:rPr>
        <w:t>甲、乙双方同意，</w:t>
      </w:r>
      <w:r>
        <w:rPr>
          <w:rFonts w:hint="eastAsia" w:ascii="仿宋_GB2312" w:hAnsi="仿宋_GB2312" w:eastAsia="仿宋_GB2312" w:cs="仿宋_GB2312"/>
          <w:bCs/>
          <w:color w:val="auto"/>
          <w:szCs w:val="32"/>
        </w:rPr>
        <w:t>涉及本次债权资产转让的</w:t>
      </w:r>
      <w:r>
        <w:rPr>
          <w:rFonts w:hint="eastAsia" w:ascii="仿宋_GB2312" w:hAnsi="仿宋_GB2312" w:eastAsia="仿宋_GB2312" w:cs="仿宋_GB2312"/>
          <w:bCs/>
          <w:color w:val="auto"/>
          <w:szCs w:val="32"/>
          <w:lang w:val="en-US" w:eastAsia="zh-CN"/>
        </w:rPr>
        <w:t>税，由双方依法各自承担，</w:t>
      </w:r>
      <w:r>
        <w:rPr>
          <w:rFonts w:hint="eastAsia" w:ascii="仿宋_GB2312" w:hAnsi="仿宋_GB2312" w:eastAsia="仿宋_GB2312" w:cs="仿宋_GB2312"/>
          <w:bCs/>
          <w:color w:val="auto"/>
          <w:szCs w:val="32"/>
        </w:rPr>
        <w:t>涉及</w:t>
      </w:r>
      <w:r>
        <w:rPr>
          <w:rFonts w:hint="eastAsia" w:ascii="仿宋_GB2312" w:hAnsi="仿宋_GB2312" w:eastAsia="仿宋_GB2312" w:cs="仿宋_GB2312"/>
          <w:bCs/>
          <w:color w:val="auto"/>
          <w:szCs w:val="32"/>
          <w:lang w:val="en-US" w:eastAsia="zh-CN"/>
        </w:rPr>
        <w:t>的相关费用承担主体按本协议有关条款和挂牌文件确定。</w:t>
      </w:r>
    </w:p>
    <w:p>
      <w:pPr>
        <w:adjustRightInd/>
        <w:snapToGrid/>
        <w:spacing w:line="570" w:lineRule="exact"/>
        <w:ind w:right="0" w:rightChars="0" w:firstLine="632" w:firstLineChars="200"/>
        <w:outlineLvl w:val="9"/>
        <w:rPr>
          <w:rFonts w:ascii="黑体" w:hAnsi="黑体" w:eastAsia="黑体" w:cs="仿宋_GB2312"/>
          <w:bCs/>
          <w:szCs w:val="32"/>
        </w:rPr>
      </w:pPr>
      <w:r>
        <w:rPr>
          <w:rFonts w:hint="eastAsia" w:ascii="黑体" w:hAnsi="黑体" w:eastAsia="黑体" w:cs="仿宋_GB2312"/>
          <w:bCs/>
          <w:szCs w:val="32"/>
        </w:rPr>
        <w:t>第十二条 违约责任</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12.1</w:t>
      </w:r>
      <w:r>
        <w:rPr>
          <w:rFonts w:hint="eastAsia" w:ascii="仿宋_GB2312" w:hAnsi="仿宋_GB2312" w:eastAsia="仿宋_GB2312" w:cs="仿宋_GB2312"/>
          <w:bCs/>
          <w:color w:val="FF0000"/>
          <w:szCs w:val="32"/>
        </w:rPr>
        <w:t xml:space="preserve"> </w:t>
      </w:r>
      <w:r>
        <w:rPr>
          <w:rFonts w:hint="eastAsia" w:ascii="仿宋_GB2312" w:hAnsi="仿宋_GB2312" w:eastAsia="仿宋_GB2312" w:cs="仿宋_GB2312"/>
          <w:bCs/>
          <w:szCs w:val="32"/>
        </w:rPr>
        <w:t>乙方未按时足额支付转让价款，甲方有权采取如下任一方式追究乙方违约责任：</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12.1.1 甲方有权继续履行合同，乙方按照应付未付金额每日</w:t>
      </w:r>
      <w:r>
        <w:rPr>
          <w:rFonts w:ascii="仿宋_GB2312" w:hAnsi="仿宋_GB2312" w:eastAsia="仿宋_GB2312" w:cs="仿宋_GB2312"/>
          <w:bCs/>
          <w:szCs w:val="32"/>
        </w:rPr>
        <w:t>2.22</w:t>
      </w:r>
      <w:r>
        <w:rPr>
          <w:rFonts w:ascii="Segoe UI Symbol" w:hAnsi="Segoe UI Symbol" w:eastAsia="仿宋_GB2312" w:cs="Segoe UI Symbol"/>
          <w:bCs/>
          <w:szCs w:val="32"/>
        </w:rPr>
        <w:t>‱</w:t>
      </w:r>
      <w:r>
        <w:rPr>
          <w:rFonts w:hint="eastAsia" w:ascii="仿宋_GB2312" w:hAnsi="仿宋_GB2312" w:eastAsia="仿宋_GB2312" w:cs="仿宋_GB2312"/>
          <w:bCs/>
          <w:szCs w:val="32"/>
        </w:rPr>
        <w:t>支付逾期付款违约金。</w:t>
      </w:r>
    </w:p>
    <w:p>
      <w:pPr>
        <w:spacing w:line="570" w:lineRule="exact"/>
        <w:ind w:right="0" w:rightChars="0" w:firstLine="632" w:firstLineChars="200"/>
        <w:rPr>
          <w:rFonts w:eastAsia="仿宋_GB2312"/>
        </w:rPr>
      </w:pPr>
      <w:r>
        <w:rPr>
          <w:rFonts w:hint="eastAsia" w:ascii="仿宋_GB2312" w:hAnsi="仿宋_GB2312" w:eastAsia="仿宋_GB2312" w:cs="仿宋_GB2312"/>
          <w:bCs/>
          <w:szCs w:val="32"/>
        </w:rPr>
        <w:t>12.1.2 乙方逾期支付达10日（含10日）的，甲方有权单方解除协议，已支付的转让价款（含转为支付价款的交易保证金）不予退还。</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12.</w:t>
      </w:r>
      <w:r>
        <w:rPr>
          <w:rFonts w:ascii="仿宋_GB2312" w:hAnsi="仿宋_GB2312" w:eastAsia="仿宋_GB2312" w:cs="仿宋_GB2312"/>
          <w:bCs/>
          <w:szCs w:val="32"/>
        </w:rPr>
        <w:t>2</w:t>
      </w:r>
      <w:r>
        <w:rPr>
          <w:rFonts w:hint="eastAsia" w:ascii="仿宋_GB2312" w:hAnsi="仿宋_GB2312" w:eastAsia="仿宋_GB2312" w:cs="仿宋_GB2312"/>
          <w:bCs/>
          <w:color w:val="FF0000"/>
          <w:szCs w:val="32"/>
        </w:rPr>
        <w:t xml:space="preserve"> </w:t>
      </w:r>
      <w:r>
        <w:rPr>
          <w:rFonts w:hint="eastAsia" w:ascii="仿宋_GB2312" w:hAnsi="仿宋_GB2312" w:eastAsia="仿宋_GB2312" w:cs="仿宋_GB2312"/>
          <w:bCs/>
          <w:szCs w:val="32"/>
        </w:rPr>
        <w:t>非因乙方的原因，甲方未按照约定移交档案资料的违约责任：经乙方书面催告后在20个工作日内，甲方无正当理由仍未履行该义务的，乙方有权解除本协议，甲方向乙方返还乙方已支付的转让价款（含转为支付价款的交易保证金），并至本协议解除之日按照乙方已支付金额每日</w:t>
      </w:r>
      <w:r>
        <w:rPr>
          <w:rFonts w:ascii="仿宋_GB2312" w:hAnsi="仿宋_GB2312" w:eastAsia="仿宋_GB2312" w:cs="仿宋_GB2312"/>
          <w:bCs/>
          <w:szCs w:val="32"/>
        </w:rPr>
        <w:t>2.22</w:t>
      </w:r>
      <w:r>
        <w:rPr>
          <w:rFonts w:ascii="Segoe UI Symbol" w:hAnsi="Segoe UI Symbol" w:eastAsia="仿宋_GB2312" w:cs="Segoe UI Symbol"/>
          <w:bCs/>
          <w:szCs w:val="32"/>
        </w:rPr>
        <w:t>‱</w:t>
      </w:r>
      <w:r>
        <w:rPr>
          <w:rFonts w:hint="eastAsia" w:ascii="仿宋_GB2312" w:hAnsi="仿宋_GB2312" w:eastAsia="仿宋_GB2312" w:cs="仿宋_GB2312"/>
          <w:bCs/>
          <w:szCs w:val="32"/>
        </w:rPr>
        <w:t>支付违约金，计算时间为甲方向乙方返还转让价款之日止。</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12.</w:t>
      </w:r>
      <w:r>
        <w:rPr>
          <w:rFonts w:ascii="仿宋_GB2312" w:hAnsi="仿宋_GB2312" w:eastAsia="仿宋_GB2312" w:cs="仿宋_GB2312"/>
          <w:bCs/>
          <w:szCs w:val="32"/>
        </w:rPr>
        <w:t>3</w:t>
      </w:r>
      <w:r>
        <w:rPr>
          <w:rFonts w:hint="eastAsia" w:ascii="仿宋_GB2312" w:hAnsi="仿宋_GB2312" w:eastAsia="仿宋_GB2312" w:cs="仿宋_GB2312"/>
          <w:bCs/>
          <w:szCs w:val="32"/>
        </w:rPr>
        <w:t xml:space="preserve"> 在因为受让而取得和享有转让标的项下债权期间，甲乙双方如出现违法行使权利等情形的，自行承担由此产生的法律责任；违法行使权利给对方造成损失的，应由责任方承担赔偿责任。</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12.</w:t>
      </w:r>
      <w:r>
        <w:rPr>
          <w:rFonts w:ascii="仿宋_GB2312" w:hAnsi="仿宋_GB2312" w:eastAsia="仿宋_GB2312" w:cs="仿宋_GB2312"/>
          <w:bCs/>
          <w:szCs w:val="32"/>
        </w:rPr>
        <w:t>4</w:t>
      </w:r>
      <w:r>
        <w:rPr>
          <w:rFonts w:hint="eastAsia" w:ascii="仿宋_GB2312" w:hAnsi="仿宋_GB2312" w:eastAsia="仿宋_GB2312" w:cs="仿宋_GB2312"/>
          <w:bCs/>
          <w:szCs w:val="32"/>
        </w:rPr>
        <w:t xml:space="preserve"> 任何一方违反本协议其他义务的，对方有权要求改正；因此使对方受到损失的，对方有权要求赔偿。</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第十三条 声明与保证</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13.1 双方有权签订并履行本协议。甲、乙双方已为签订和履行本协议完成了必要的法律和行政手续以及各自内部审批手续。</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13.2 甲、乙双方保证向对方无保留地提供涉及本次债权转让的相关文件，提供的文件都是真实、准确、有效和最新的。</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13.3 甲、乙双方保证现在和将来与任何第三方的合同或者协议均不应影响和损害对方依据本协议而享有的全部权利。</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13.4 甲、乙双方保证，在未征得对方同意的情况下，不向任何第三方披露本协议项下债权及其处置的任何内容，但以下情况除外：</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13.4.1 履行债权转让通知义务，向债务人披露债权转让信息。</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13.4.2 披露给在正常业务中所聘用的审计、评估和法律等工作人员。</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13.4.3 该文件和资料可由公开途径获得，或者该资料的披露是法律法规所要求的。</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13.4.4 按照司法机关、监管机构的要求进行披露或者根据所采取的法律程序进行的、与本协议有关的披露。</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13.5 乙方充分知悉并理解转让标的项下的债权不同程度地存在不能如期、全额收回的风险和瑕疵。甲方向乙方提供的资料，甲方无法对债权凭证上债务人、借款人、担保人或其他政府机关、机构签章的真实性以及第三方制作或提供的文件的真实性、有效性、准确性和完整性进行保证。</w:t>
      </w:r>
    </w:p>
    <w:p>
      <w:pPr>
        <w:spacing w:line="570" w:lineRule="exact"/>
        <w:ind w:right="0" w:rightChars="0" w:firstLine="632" w:firstLineChars="200"/>
        <w:rPr>
          <w:rFonts w:hint="eastAsia" w:ascii="仿宋_GB2312" w:hAnsi="仿宋_GB2312" w:eastAsia="仿宋_GB2312" w:cs="仿宋_GB2312"/>
          <w:bCs/>
          <w:szCs w:val="32"/>
        </w:rPr>
      </w:pPr>
      <w:r>
        <w:rPr>
          <w:rFonts w:hint="eastAsia" w:ascii="仿宋_GB2312" w:hAnsi="仿宋_GB2312" w:eastAsia="仿宋_GB2312" w:cs="仿宋_GB2312"/>
          <w:bCs/>
          <w:szCs w:val="32"/>
        </w:rPr>
        <w:t>13.6 甲方已向乙方说明了转让标的项下债权的主要状况，并已揭示其已知悉的影响债权实现的既存和潜在的主要风险因素和瑕疵，甲方无法也不可能知悉债权的所有风险和瑕疵，甲方的</w:t>
      </w:r>
      <w:r>
        <w:rPr>
          <w:rFonts w:hint="eastAsia" w:ascii="仿宋_GB2312" w:hAnsi="仿宋_GB2312" w:eastAsia="仿宋_GB2312" w:cs="仿宋_GB2312"/>
          <w:bCs/>
          <w:color w:val="auto"/>
          <w:szCs w:val="32"/>
          <w:lang w:val="en-US" w:eastAsia="zh-CN"/>
        </w:rPr>
        <w:t>此类</w:t>
      </w:r>
      <w:r>
        <w:rPr>
          <w:rFonts w:hint="eastAsia" w:ascii="仿宋_GB2312" w:hAnsi="仿宋_GB2312" w:eastAsia="仿宋_GB2312" w:cs="仿宋_GB2312"/>
          <w:bCs/>
          <w:color w:val="auto"/>
          <w:szCs w:val="32"/>
        </w:rPr>
        <w:t>披</w:t>
      </w:r>
      <w:r>
        <w:rPr>
          <w:rFonts w:hint="eastAsia" w:ascii="仿宋_GB2312" w:hAnsi="仿宋_GB2312" w:eastAsia="仿宋_GB2312" w:cs="仿宋_GB2312"/>
          <w:bCs/>
          <w:szCs w:val="32"/>
        </w:rPr>
        <w:t>露并不表示债权除此之外不存在其他风险性因素和瑕疵，亦不得视为甲方对债权的最终可实现性承担任何形式的担保。</w:t>
      </w:r>
    </w:p>
    <w:p>
      <w:pPr>
        <w:spacing w:line="570" w:lineRule="exact"/>
        <w:ind w:right="0" w:rightChars="0" w:firstLine="632" w:firstLineChars="200"/>
        <w:rPr>
          <w:color w:val="auto"/>
        </w:rPr>
      </w:pPr>
      <w:r>
        <w:rPr>
          <w:rFonts w:hint="eastAsia" w:ascii="仿宋_GB2312" w:hAnsi="仿宋_GB2312" w:eastAsia="仿宋_GB2312" w:cs="仿宋_GB2312"/>
          <w:b/>
          <w:bCs/>
          <w:color w:val="auto"/>
          <w:szCs w:val="32"/>
        </w:rPr>
        <w:t>乙方充分知悉</w:t>
      </w:r>
      <w:r>
        <w:rPr>
          <w:rFonts w:hint="eastAsia" w:ascii="仿宋_GB2312" w:hAnsi="仿宋_GB2312" w:eastAsia="仿宋_GB2312" w:cs="仿宋_GB2312"/>
          <w:b/>
          <w:bCs/>
          <w:color w:val="auto"/>
          <w:szCs w:val="32"/>
          <w:lang w:eastAsia="zh-CN"/>
        </w:rPr>
        <w:t>，</w:t>
      </w:r>
      <w:r>
        <w:rPr>
          <w:rFonts w:hint="eastAsia" w:ascii="仿宋_GB2312" w:hAnsi="仿宋_GB2312" w:eastAsia="仿宋_GB2312" w:cs="仿宋_GB2312"/>
          <w:b/>
          <w:bCs/>
          <w:color w:val="auto"/>
          <w:szCs w:val="32"/>
          <w:lang w:val="en-US" w:eastAsia="zh-CN"/>
        </w:rPr>
        <w:t>权利转移日之前，</w:t>
      </w:r>
      <w:r>
        <w:rPr>
          <w:rFonts w:hint="eastAsia" w:ascii="仿宋_GB2312" w:hAnsi="仿宋_GB2312" w:eastAsia="仿宋_GB2312" w:cs="仿宋_GB2312"/>
          <w:b/>
          <w:bCs/>
          <w:color w:val="auto"/>
          <w:szCs w:val="32"/>
        </w:rPr>
        <w:t>甲方对标的资产中相关债务人或者还款义务人进行追偿或者相关债务人或者还款义务人主动还款所获得的</w:t>
      </w:r>
      <w:r>
        <w:rPr>
          <w:rFonts w:hint="eastAsia" w:ascii="仿宋_GB2312" w:hAnsi="仿宋_GB2312" w:eastAsia="仿宋_GB2312" w:cs="仿宋_GB2312"/>
          <w:b/>
          <w:bCs/>
          <w:color w:val="auto"/>
          <w:szCs w:val="32"/>
          <w:lang w:val="en-US" w:eastAsia="zh-CN"/>
        </w:rPr>
        <w:t>收入</w:t>
      </w:r>
      <w:r>
        <w:rPr>
          <w:rFonts w:hint="eastAsia" w:ascii="仿宋_GB2312" w:hAnsi="仿宋_GB2312" w:eastAsia="仿宋_GB2312" w:cs="仿宋_GB2312"/>
          <w:b/>
          <w:bCs/>
          <w:color w:val="auto"/>
          <w:szCs w:val="32"/>
        </w:rPr>
        <w:t>（包括现金和非现金</w:t>
      </w:r>
      <w:r>
        <w:rPr>
          <w:rFonts w:hint="eastAsia" w:ascii="仿宋_GB2312" w:hAnsi="仿宋_GB2312" w:eastAsia="仿宋_GB2312" w:cs="仿宋_GB2312"/>
          <w:b/>
          <w:bCs/>
          <w:color w:val="auto"/>
          <w:szCs w:val="32"/>
          <w:lang w:val="en-US" w:eastAsia="zh-CN"/>
        </w:rPr>
        <w:t>收入</w:t>
      </w:r>
      <w:r>
        <w:rPr>
          <w:rFonts w:hint="eastAsia" w:ascii="仿宋_GB2312" w:hAnsi="仿宋_GB2312" w:eastAsia="仿宋_GB2312" w:cs="仿宋_GB2312"/>
          <w:b/>
          <w:bCs/>
          <w:color w:val="auto"/>
          <w:szCs w:val="32"/>
        </w:rPr>
        <w:t>）</w:t>
      </w:r>
      <w:r>
        <w:rPr>
          <w:rFonts w:hint="eastAsia" w:ascii="仿宋_GB2312" w:hAnsi="仿宋_GB2312" w:eastAsia="仿宋_GB2312" w:cs="仿宋_GB2312"/>
          <w:b/>
          <w:bCs/>
          <w:color w:val="auto"/>
          <w:szCs w:val="32"/>
          <w:lang w:val="en-US" w:eastAsia="zh-CN"/>
        </w:rPr>
        <w:t>归甲方所有，不在本次转让范围内。</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13.7 此次债权转让采用乙方一次性买断的方式，无论乙方在挂牌截止日期前是否对转让标的项下债权进行了尽职调查，均视为乙方对债权的风险具有充分的了解和合理的判断。本协议生效后，乙方自愿承担债权的所有风险，不得因13.5、13.6条所述甲方已披露或未能披露的债权风险、瑕疵或债权存在的其他问题要求终止本协议或追究甲方责任。</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第十四条 争议的解决</w:t>
      </w:r>
    </w:p>
    <w:p>
      <w:pPr>
        <w:spacing w:line="570" w:lineRule="exact"/>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14.1 甲、乙双方因本协议发生的一切争议，应协商解决；协商不成的，任何一方均有权向甲方所在地有管辖权的人民法院起诉。</w:t>
      </w:r>
    </w:p>
    <w:p>
      <w:pPr>
        <w:adjustRightInd w:val="0"/>
        <w:snapToGrid w:val="0"/>
        <w:spacing w:line="570" w:lineRule="exact"/>
        <w:ind w:right="0" w:rightChars="0" w:firstLine="632" w:firstLineChars="200"/>
        <w:outlineLvl w:val="0"/>
        <w:rPr>
          <w:rFonts w:ascii="黑体" w:hAnsi="黑体" w:eastAsia="黑体" w:cs="仿宋_GB2312"/>
          <w:bCs/>
          <w:szCs w:val="32"/>
        </w:rPr>
      </w:pPr>
      <w:r>
        <w:rPr>
          <w:rFonts w:hint="eastAsia" w:ascii="黑体" w:hAnsi="黑体" w:eastAsia="黑体" w:cs="仿宋_GB2312"/>
          <w:bCs/>
          <w:szCs w:val="32"/>
        </w:rPr>
        <w:t>第十五条 其他</w:t>
      </w:r>
    </w:p>
    <w:p>
      <w:pPr>
        <w:adjustRightInd w:val="0"/>
        <w:snapToGrid w:val="0"/>
        <w:spacing w:line="570" w:lineRule="exact"/>
        <w:ind w:right="0" w:rightChars="0" w:firstLine="632" w:firstLineChars="200"/>
        <w:outlineLvl w:val="0"/>
        <w:rPr>
          <w:rFonts w:ascii="仿宋_GB2312" w:hAnsi="仿宋_GB2312" w:eastAsia="仿宋_GB2312" w:cs="仿宋_GB2312"/>
          <w:bCs/>
          <w:szCs w:val="32"/>
        </w:rPr>
      </w:pPr>
      <w:r>
        <w:rPr>
          <w:rFonts w:hint="eastAsia" w:ascii="仿宋_GB2312" w:hAnsi="仿宋_GB2312" w:eastAsia="仿宋_GB2312" w:cs="仿宋_GB2312"/>
          <w:bCs/>
          <w:szCs w:val="32"/>
        </w:rPr>
        <w:t>15.1 甲方已采取适当的方式提请乙方注意本协议项下免除或者限制甲方责任的条款，并按照乙方要求对有关条款予以充分说明。甲、乙双方对本协议所有条款内容理解不存在异议。</w:t>
      </w:r>
    </w:p>
    <w:p>
      <w:pPr>
        <w:adjustRightInd w:val="0"/>
        <w:snapToGrid w:val="0"/>
        <w:spacing w:line="570" w:lineRule="exact"/>
        <w:ind w:right="0" w:rightChars="0" w:firstLine="632" w:firstLineChars="200"/>
        <w:outlineLvl w:val="0"/>
        <w:rPr>
          <w:rFonts w:ascii="仿宋_GB2312" w:hAnsi="仿宋_GB2312" w:eastAsia="仿宋_GB2312" w:cs="仿宋_GB2312"/>
          <w:bCs/>
          <w:szCs w:val="32"/>
        </w:rPr>
      </w:pPr>
      <w:r>
        <w:rPr>
          <w:rFonts w:hint="eastAsia" w:ascii="仿宋_GB2312" w:hAnsi="仿宋_GB2312" w:eastAsia="仿宋_GB2312" w:cs="仿宋_GB2312"/>
          <w:bCs/>
          <w:szCs w:val="32"/>
        </w:rPr>
        <w:t>15.2 其他未尽事宜，甲、乙双方协商一致后修改和补充本协议，其修改和补充均构成本协议不可分割的组成部分，与本协议同等有效。</w:t>
      </w:r>
    </w:p>
    <w:p>
      <w:pPr>
        <w:adjustRightInd w:val="0"/>
        <w:snapToGrid w:val="0"/>
        <w:spacing w:line="570" w:lineRule="exact"/>
        <w:ind w:right="0" w:rightChars="0" w:firstLine="632" w:firstLineChars="200"/>
        <w:outlineLvl w:val="0"/>
        <w:rPr>
          <w:rFonts w:ascii="仿宋_GB2312" w:hAnsi="仿宋_GB2312" w:eastAsia="仿宋_GB2312" w:cs="仿宋_GB2312"/>
          <w:bCs/>
          <w:szCs w:val="32"/>
        </w:rPr>
      </w:pPr>
      <w:r>
        <w:rPr>
          <w:rFonts w:hint="eastAsia" w:ascii="仿宋_GB2312" w:hAnsi="仿宋_GB2312" w:eastAsia="仿宋_GB2312" w:cs="仿宋_GB2312"/>
          <w:bCs/>
          <w:szCs w:val="32"/>
        </w:rPr>
        <w:t>15.</w:t>
      </w:r>
      <w:r>
        <w:rPr>
          <w:rFonts w:ascii="仿宋_GB2312" w:hAnsi="仿宋_GB2312" w:eastAsia="仿宋_GB2312" w:cs="仿宋_GB2312"/>
          <w:bCs/>
          <w:szCs w:val="32"/>
        </w:rPr>
        <w:t>3</w:t>
      </w:r>
      <w:r>
        <w:rPr>
          <w:rFonts w:hint="eastAsia" w:ascii="仿宋_GB2312" w:hAnsi="仿宋_GB2312" w:eastAsia="仿宋_GB2312" w:cs="仿宋_GB2312"/>
          <w:bCs/>
          <w:szCs w:val="32"/>
        </w:rPr>
        <w:t xml:space="preserve"> 本协议自甲、乙双方负责人或者授权代表签字(或加盖名章)并加盖公章之日生效。附件作为本协议的组成部分，与本协议具有同等效力。</w:t>
      </w:r>
    </w:p>
    <w:p>
      <w:pPr>
        <w:adjustRightInd w:val="0"/>
        <w:snapToGrid w:val="0"/>
        <w:spacing w:line="570" w:lineRule="exact"/>
        <w:ind w:right="0" w:rightChars="0" w:firstLine="632" w:firstLineChars="200"/>
        <w:outlineLvl w:val="0"/>
        <w:rPr>
          <w:rFonts w:ascii="仿宋_GB2312" w:hAnsi="仿宋_GB2312" w:eastAsia="仿宋_GB2312" w:cs="仿宋_GB2312"/>
          <w:bCs/>
          <w:szCs w:val="32"/>
        </w:rPr>
      </w:pPr>
      <w:r>
        <w:rPr>
          <w:rFonts w:hint="eastAsia" w:ascii="仿宋_GB2312" w:hAnsi="仿宋_GB2312" w:eastAsia="仿宋_GB2312" w:cs="仿宋_GB2312"/>
          <w:bCs/>
          <w:szCs w:val="32"/>
        </w:rPr>
        <w:t>15.</w:t>
      </w:r>
      <w:r>
        <w:rPr>
          <w:rFonts w:ascii="仿宋_GB2312" w:hAnsi="仿宋_GB2312" w:eastAsia="仿宋_GB2312" w:cs="仿宋_GB2312"/>
          <w:bCs/>
          <w:szCs w:val="32"/>
        </w:rPr>
        <w:t>4</w:t>
      </w:r>
      <w:r>
        <w:rPr>
          <w:rFonts w:hint="eastAsia" w:ascii="仿宋_GB2312" w:hAnsi="仿宋_GB2312" w:eastAsia="仿宋_GB2312" w:cs="仿宋_GB2312"/>
          <w:bCs/>
          <w:szCs w:val="32"/>
        </w:rPr>
        <w:t xml:space="preserve"> 本协议一式</w:t>
      </w:r>
      <w:r>
        <w:rPr>
          <w:rFonts w:hint="eastAsia" w:ascii="仿宋_GB2312" w:hAnsi="仿宋_GB2312" w:eastAsia="仿宋_GB2312" w:cs="仿宋_GB2312"/>
          <w:bCs/>
          <w:szCs w:val="32"/>
          <w:lang w:val="en-US" w:eastAsia="zh-CN"/>
        </w:rPr>
        <w:t>X</w:t>
      </w:r>
      <w:r>
        <w:rPr>
          <w:rFonts w:hint="eastAsia" w:ascii="仿宋_GB2312" w:hAnsi="仿宋_GB2312" w:eastAsia="仿宋_GB2312" w:cs="仿宋_GB2312"/>
          <w:bCs/>
          <w:szCs w:val="32"/>
        </w:rPr>
        <w:t>份，甲方</w:t>
      </w:r>
      <w:r>
        <w:rPr>
          <w:rFonts w:hint="eastAsia" w:ascii="仿宋_GB2312" w:hAnsi="仿宋_GB2312" w:eastAsia="仿宋_GB2312" w:cs="仿宋_GB2312"/>
          <w:bCs/>
          <w:szCs w:val="32"/>
          <w:lang w:val="en-US" w:eastAsia="zh-CN"/>
        </w:rPr>
        <w:t>X</w:t>
      </w:r>
      <w:r>
        <w:rPr>
          <w:rFonts w:hint="eastAsia" w:ascii="仿宋_GB2312" w:hAnsi="仿宋_GB2312" w:eastAsia="仿宋_GB2312" w:cs="仿宋_GB2312"/>
          <w:bCs/>
          <w:szCs w:val="32"/>
        </w:rPr>
        <w:t>份、乙方</w:t>
      </w:r>
      <w:r>
        <w:rPr>
          <w:rFonts w:hint="eastAsia" w:ascii="仿宋_GB2312" w:hAnsi="仿宋_GB2312" w:eastAsia="仿宋_GB2312" w:cs="仿宋_GB2312"/>
          <w:bCs/>
          <w:szCs w:val="32"/>
          <w:lang w:val="en-US" w:eastAsia="zh-CN"/>
        </w:rPr>
        <w:t>X</w:t>
      </w:r>
      <w:r>
        <w:rPr>
          <w:rFonts w:hint="eastAsia" w:ascii="仿宋_GB2312" w:hAnsi="仿宋_GB2312" w:eastAsia="仿宋_GB2312" w:cs="仿宋_GB2312"/>
          <w:bCs/>
          <w:szCs w:val="32"/>
        </w:rPr>
        <w:t>份，具有同等法律效力。</w:t>
      </w:r>
    </w:p>
    <w:p>
      <w:pPr>
        <w:pStyle w:val="2"/>
        <w:ind w:right="316" w:firstLine="632" w:firstLineChars="200"/>
        <w:jc w:val="left"/>
        <w:rPr>
          <w:rFonts w:ascii="仿宋_GB2312" w:hAnsi="仿宋_GB2312" w:eastAsia="仿宋_GB2312" w:cs="仿宋_GB2312"/>
          <w:b/>
          <w:szCs w:val="32"/>
        </w:rPr>
      </w:pPr>
    </w:p>
    <w:p>
      <w:pPr>
        <w:pStyle w:val="2"/>
        <w:ind w:left="1580" w:leftChars="200" w:right="316" w:hanging="948" w:hangingChars="300"/>
        <w:jc w:val="left"/>
        <w:rPr>
          <w:rFonts w:hint="eastAsia" w:ascii="仿宋_GB2312" w:hAnsi="仿宋_GB2312" w:eastAsia="仿宋_GB2312" w:cs="仿宋_GB2312"/>
          <w:bCs/>
          <w:spacing w:val="-11"/>
          <w:kern w:val="6"/>
          <w:szCs w:val="32"/>
        </w:rPr>
      </w:pPr>
      <w:r>
        <w:rPr>
          <w:rFonts w:hint="eastAsia" w:ascii="仿宋_GB2312" w:hAnsi="仿宋_GB2312" w:eastAsia="仿宋_GB2312" w:cs="仿宋_GB2312"/>
          <w:bCs/>
          <w:spacing w:val="0"/>
          <w:kern w:val="6"/>
          <w:szCs w:val="32"/>
        </w:rPr>
        <w:t>附件</w:t>
      </w:r>
      <w:r>
        <w:rPr>
          <w:rFonts w:hint="eastAsia" w:ascii="仿宋_GB2312" w:hAnsi="仿宋_GB2312" w:eastAsia="仿宋_GB2312" w:cs="仿宋_GB2312"/>
          <w:b w:val="0"/>
          <w:bCs/>
          <w:spacing w:val="0"/>
          <w:kern w:val="6"/>
          <w:szCs w:val="32"/>
        </w:rPr>
        <w:t>：</w:t>
      </w:r>
      <w:r>
        <w:rPr>
          <w:rFonts w:hint="eastAsia" w:ascii="仿宋_GB2312" w:hAnsi="仿宋_GB2312" w:eastAsia="仿宋_GB2312" w:cs="仿宋_GB2312"/>
          <w:bCs/>
          <w:spacing w:val="-11"/>
          <w:kern w:val="6"/>
          <w:szCs w:val="32"/>
        </w:rPr>
        <w:t>1.《民事判决书》（（2022）黔0102民初11687号）</w:t>
      </w:r>
    </w:p>
    <w:p>
      <w:pPr>
        <w:pStyle w:val="2"/>
        <w:ind w:left="1460" w:leftChars="200" w:right="316" w:hanging="828" w:hangingChars="300"/>
        <w:jc w:val="left"/>
        <w:rPr>
          <w:rFonts w:hint="eastAsia" w:ascii="仿宋_GB2312" w:hAnsi="仿宋_GB2312" w:eastAsia="仿宋_GB2312" w:cs="仿宋_GB2312"/>
          <w:bCs/>
          <w:spacing w:val="-11"/>
          <w:kern w:val="6"/>
          <w:szCs w:val="32"/>
        </w:rPr>
      </w:pPr>
      <w:r>
        <w:rPr>
          <w:rFonts w:hint="eastAsia" w:ascii="仿宋_GB2312" w:hAnsi="仿宋_GB2312" w:eastAsia="仿宋_GB2312" w:cs="仿宋_GB2312"/>
          <w:spacing w:val="-20"/>
          <w:szCs w:val="32"/>
        </w:rPr>
        <w:t xml:space="preserve"> </w:t>
      </w:r>
      <w:r>
        <w:rPr>
          <w:rFonts w:ascii="仿宋_GB2312" w:hAnsi="仿宋_GB2312" w:eastAsia="仿宋_GB2312" w:cs="仿宋_GB2312"/>
          <w:spacing w:val="-20"/>
          <w:szCs w:val="32"/>
        </w:rPr>
        <w:t xml:space="preserve">    </w:t>
      </w:r>
      <w:r>
        <w:rPr>
          <w:rFonts w:hint="eastAsia" w:ascii="仿宋_GB2312" w:hAnsi="仿宋_GB2312" w:eastAsia="仿宋_GB2312" w:cs="仿宋_GB2312"/>
          <w:bCs/>
          <w:spacing w:val="-20"/>
          <w:kern w:val="6"/>
          <w:szCs w:val="32"/>
        </w:rPr>
        <w:t xml:space="preserve"> </w:t>
      </w:r>
      <w:r>
        <w:rPr>
          <w:rFonts w:hint="eastAsia" w:ascii="仿宋_GB2312" w:hAnsi="仿宋_GB2312" w:eastAsia="仿宋_GB2312" w:cs="仿宋_GB2312"/>
          <w:bCs/>
          <w:spacing w:val="-20"/>
          <w:kern w:val="6"/>
          <w:szCs w:val="32"/>
          <w:lang w:val="en-US" w:eastAsia="zh-CN"/>
        </w:rPr>
        <w:t xml:space="preserve">  </w:t>
      </w:r>
      <w:r>
        <w:rPr>
          <w:rFonts w:hint="eastAsia" w:ascii="仿宋_GB2312" w:hAnsi="仿宋_GB2312" w:eastAsia="仿宋_GB2312" w:cs="仿宋_GB2312"/>
          <w:bCs/>
          <w:spacing w:val="-11"/>
          <w:kern w:val="6"/>
          <w:szCs w:val="32"/>
        </w:rPr>
        <w:t>2.《民事调解书》（（2022）黔0102民初11688号）</w:t>
      </w:r>
    </w:p>
    <w:p>
      <w:pPr>
        <w:pStyle w:val="2"/>
        <w:ind w:right="316" w:firstLine="632" w:firstLineChars="200"/>
        <w:jc w:val="left"/>
        <w:rPr>
          <w:rFonts w:hint="eastAsia" w:ascii="仿宋_GB2312" w:hAnsi="仿宋_GB2312" w:eastAsia="仿宋_GB2312" w:cs="仿宋_GB2312"/>
          <w:b/>
          <w:szCs w:val="32"/>
        </w:rPr>
      </w:pPr>
    </w:p>
    <w:p>
      <w:pPr>
        <w:pStyle w:val="2"/>
        <w:ind w:right="316" w:firstLine="632" w:firstLineChars="200"/>
        <w:jc w:val="left"/>
        <w:rPr>
          <w:rFonts w:hint="eastAsia" w:ascii="仿宋_GB2312" w:hAnsi="仿宋_GB2312" w:eastAsia="仿宋_GB2312" w:cs="仿宋_GB2312"/>
          <w:b/>
          <w:szCs w:val="32"/>
        </w:rPr>
      </w:pPr>
    </w:p>
    <w:p>
      <w:pPr>
        <w:pStyle w:val="2"/>
        <w:ind w:right="316" w:firstLine="632" w:firstLineChars="200"/>
        <w:jc w:val="left"/>
        <w:rPr>
          <w:rFonts w:hint="eastAsia" w:ascii="仿宋_GB2312" w:hAnsi="仿宋_GB2312" w:eastAsia="仿宋_GB2312" w:cs="仿宋_GB2312"/>
          <w:b/>
          <w:szCs w:val="32"/>
        </w:rPr>
      </w:pPr>
    </w:p>
    <w:p>
      <w:pPr>
        <w:pStyle w:val="2"/>
        <w:ind w:right="316" w:firstLine="632" w:firstLineChars="200"/>
        <w:jc w:val="left"/>
        <w:rPr>
          <w:rFonts w:hint="eastAsia" w:ascii="仿宋_GB2312" w:hAnsi="仿宋_GB2312" w:eastAsia="仿宋_GB2312" w:cs="仿宋_GB2312"/>
          <w:b/>
          <w:szCs w:val="32"/>
        </w:rPr>
      </w:pPr>
    </w:p>
    <w:p>
      <w:pPr>
        <w:pStyle w:val="2"/>
        <w:ind w:right="316" w:firstLine="632" w:firstLineChars="200"/>
        <w:jc w:val="left"/>
        <w:rPr>
          <w:rFonts w:hint="eastAsia" w:ascii="仿宋_GB2312" w:hAnsi="仿宋_GB2312" w:eastAsia="仿宋_GB2312" w:cs="仿宋_GB2312"/>
          <w:b/>
          <w:szCs w:val="32"/>
        </w:rPr>
      </w:pPr>
    </w:p>
    <w:p>
      <w:pPr>
        <w:pStyle w:val="2"/>
        <w:ind w:right="316" w:firstLine="632" w:firstLineChars="200"/>
        <w:jc w:val="left"/>
        <w:rPr>
          <w:rFonts w:hint="eastAsia" w:ascii="仿宋_GB2312" w:hAnsi="仿宋_GB2312" w:eastAsia="仿宋_GB2312" w:cs="仿宋_GB2312"/>
          <w:b/>
          <w:szCs w:val="32"/>
        </w:rPr>
      </w:pPr>
    </w:p>
    <w:p>
      <w:pPr>
        <w:pStyle w:val="2"/>
        <w:ind w:right="316" w:firstLine="632" w:firstLineChars="200"/>
        <w:jc w:val="left"/>
        <w:rPr>
          <w:rFonts w:hint="eastAsia" w:ascii="仿宋_GB2312" w:hAnsi="仿宋_GB2312" w:eastAsia="仿宋_GB2312" w:cs="仿宋_GB2312"/>
          <w:b/>
          <w:szCs w:val="32"/>
        </w:rPr>
      </w:pPr>
    </w:p>
    <w:p>
      <w:pPr>
        <w:pStyle w:val="2"/>
        <w:ind w:right="316" w:firstLine="632" w:firstLineChars="200"/>
        <w:jc w:val="left"/>
        <w:rPr>
          <w:rFonts w:ascii="仿宋_GB2312" w:hAnsi="仿宋_GB2312" w:eastAsia="仿宋_GB2312" w:cs="仿宋_GB2312"/>
          <w:b/>
          <w:szCs w:val="32"/>
        </w:rPr>
      </w:pPr>
      <w:r>
        <w:rPr>
          <w:rFonts w:hint="eastAsia" w:ascii="仿宋_GB2312" w:hAnsi="仿宋_GB2312" w:eastAsia="仿宋_GB2312" w:cs="仿宋_GB2312"/>
          <w:b/>
          <w:szCs w:val="32"/>
        </w:rPr>
        <w:t>本页无正文，为签章页</w:t>
      </w:r>
    </w:p>
    <w:p>
      <w:pPr>
        <w:spacing w:line="300" w:lineRule="auto"/>
        <w:ind w:right="0" w:rightChars="0" w:firstLine="632" w:firstLineChars="200"/>
        <w:rPr>
          <w:rFonts w:ascii="仿宋_GB2312" w:hAnsi="仿宋_GB2312" w:eastAsia="仿宋_GB2312" w:cs="仿宋_GB2312"/>
          <w:bCs/>
          <w:szCs w:val="32"/>
        </w:rPr>
      </w:pPr>
    </w:p>
    <w:p>
      <w:pPr>
        <w:spacing w:line="600" w:lineRule="exact"/>
        <w:ind w:right="316" w:firstLine="632" w:firstLineChars="200"/>
        <w:rPr>
          <w:rFonts w:ascii="仿宋_GB2312" w:hAnsi="仿宋_GB2312" w:eastAsia="仿宋_GB2312" w:cs="仿宋_GB2312"/>
          <w:b/>
          <w:szCs w:val="32"/>
        </w:rPr>
      </w:pPr>
      <w:r>
        <w:rPr>
          <w:rFonts w:hint="eastAsia" w:ascii="仿宋_GB2312" w:hAnsi="仿宋_GB2312" w:eastAsia="仿宋_GB2312" w:cs="仿宋_GB2312"/>
          <w:bCs/>
          <w:szCs w:val="32"/>
        </w:rPr>
        <w:t>甲方：</w:t>
      </w:r>
      <w:r>
        <w:rPr>
          <w:rFonts w:hint="eastAsia" w:ascii="仿宋_GB2312" w:hAnsi="仿宋_GB2312" w:eastAsia="仿宋_GB2312" w:cs="仿宋_GB2312"/>
          <w:b/>
          <w:szCs w:val="32"/>
        </w:rPr>
        <w:t>贵阳市公共交通投资运营集团有限公司</w:t>
      </w:r>
    </w:p>
    <w:p>
      <w:pPr>
        <w:spacing w:line="300" w:lineRule="auto"/>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法定代表人（授权代表人）：</w:t>
      </w:r>
    </w:p>
    <w:p>
      <w:pPr>
        <w:spacing w:line="300" w:lineRule="auto"/>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日期：</w:t>
      </w:r>
    </w:p>
    <w:p>
      <w:pPr>
        <w:spacing w:line="300" w:lineRule="auto"/>
        <w:ind w:right="0" w:rightChars="0" w:firstLine="632" w:firstLineChars="200"/>
        <w:rPr>
          <w:rFonts w:ascii="仿宋_GB2312" w:hAnsi="仿宋_GB2312" w:eastAsia="仿宋_GB2312" w:cs="仿宋_GB2312"/>
          <w:bCs/>
          <w:szCs w:val="32"/>
        </w:rPr>
      </w:pPr>
    </w:p>
    <w:p>
      <w:pPr>
        <w:spacing w:line="300" w:lineRule="auto"/>
        <w:ind w:right="0" w:rightChars="0"/>
        <w:rPr>
          <w:rFonts w:ascii="仿宋_GB2312" w:hAnsi="仿宋_GB2312" w:eastAsia="仿宋_GB2312" w:cs="仿宋_GB2312"/>
          <w:bCs/>
          <w:szCs w:val="32"/>
        </w:rPr>
      </w:pPr>
    </w:p>
    <w:p>
      <w:pPr>
        <w:spacing w:line="300" w:lineRule="auto"/>
        <w:ind w:right="0" w:rightChars="0" w:firstLine="632" w:firstLineChars="200"/>
        <w:rPr>
          <w:rFonts w:ascii="仿宋_GB2312" w:hAnsi="仿宋_GB2312" w:eastAsia="仿宋_GB2312" w:cs="仿宋_GB2312"/>
          <w:bCs/>
          <w:szCs w:val="32"/>
        </w:rPr>
      </w:pPr>
    </w:p>
    <w:p>
      <w:pPr>
        <w:spacing w:line="300" w:lineRule="auto"/>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乙方：</w:t>
      </w:r>
    </w:p>
    <w:p>
      <w:pPr>
        <w:spacing w:line="300" w:lineRule="auto"/>
        <w:ind w:right="0" w:rightChars="0" w:firstLine="632" w:firstLineChars="200"/>
        <w:rPr>
          <w:rFonts w:ascii="仿宋_GB2312" w:hAnsi="仿宋_GB2312" w:eastAsia="仿宋_GB2312" w:cs="仿宋_GB2312"/>
          <w:bCs/>
          <w:szCs w:val="32"/>
        </w:rPr>
      </w:pPr>
      <w:r>
        <w:rPr>
          <w:rFonts w:hint="eastAsia" w:ascii="仿宋_GB2312" w:hAnsi="仿宋_GB2312" w:eastAsia="仿宋_GB2312" w:cs="仿宋_GB2312"/>
          <w:bCs/>
          <w:szCs w:val="32"/>
        </w:rPr>
        <w:t>法定代表人（授权代表人）：</w:t>
      </w:r>
    </w:p>
    <w:p>
      <w:pPr>
        <w:spacing w:line="300" w:lineRule="auto"/>
        <w:ind w:right="0" w:rightChars="0" w:firstLine="632" w:firstLineChars="200"/>
        <w:rPr>
          <w:rFonts w:ascii="仿宋_GB2312" w:eastAsia="仿宋_GB2312"/>
          <w:b/>
          <w:szCs w:val="32"/>
        </w:rPr>
      </w:pPr>
      <w:r>
        <w:rPr>
          <w:rFonts w:hint="eastAsia" w:ascii="仿宋_GB2312" w:hAnsi="仿宋_GB2312" w:eastAsia="仿宋_GB2312" w:cs="仿宋_GB2312"/>
          <w:bCs/>
          <w:szCs w:val="32"/>
        </w:rPr>
        <w:t>日期：</w:t>
      </w:r>
    </w:p>
    <w:sectPr>
      <w:headerReference r:id="rId7" w:type="first"/>
      <w:footerReference r:id="rId10" w:type="first"/>
      <w:headerReference r:id="rId5" w:type="default"/>
      <w:footerReference r:id="rId8" w:type="default"/>
      <w:headerReference r:id="rId6" w:type="even"/>
      <w:footerReference r:id="rId9" w:type="even"/>
      <w:pgSz w:w="11906" w:h="16838"/>
      <w:pgMar w:top="1701" w:right="1587" w:bottom="1701" w:left="1587" w:header="851" w:footer="1242" w:gutter="0"/>
      <w:pgNumType w:start="0"/>
      <w:cols w:space="720" w:num="1"/>
      <w:titlePg/>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right="316"/>
      </w:pPr>
      <w:r>
        <w:separator/>
      </w:r>
    </w:p>
  </w:endnote>
  <w:endnote w:type="continuationSeparator" w:id="1">
    <w:p>
      <w:pPr>
        <w:ind w:right="31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right" w:pos="8789"/>
        <w:tab w:val="clear" w:pos="8306"/>
      </w:tabs>
      <w:wordWrap w:val="0"/>
      <w:ind w:right="320"/>
      <w:jc w:val="right"/>
      <w:rPr>
        <w:rFonts w:ascii="宋体" w:hAnsi="宋体"/>
        <w:sz w:val="28"/>
        <w:szCs w:val="28"/>
      </w:rPr>
    </w:pPr>
    <w:r>
      <w:rPr>
        <w:rFonts w:ascii="宋体" w:hAnsi="宋体"/>
        <w:sz w:val="28"/>
        <w:szCs w:val="28"/>
      </w:rPr>
      <w:t>—</w:t>
    </w: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hint="eastAsia" w:ascii="宋体" w:hAnsi="宋体"/>
        <w:sz w:val="28"/>
        <w:szCs w:val="28"/>
      </w:rPr>
      <w:t xml:space="preserve"> </w:t>
    </w:r>
    <w:r>
      <w:rPr>
        <w:rFonts w:ascii="宋体" w:hAnsi="宋体"/>
        <w:sz w:val="28"/>
        <w:szCs w:val="28"/>
      </w:rPr>
      <w:t>—</w:t>
    </w:r>
  </w:p>
  <w:p>
    <w:pPr>
      <w:pStyle w:val="11"/>
      <w:ind w:right="32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320" w:leftChars="100" w:right="0" w:rightChars="0"/>
      <w:rPr>
        <w:rFonts w:ascii="宋体" w:hAnsi="宋体"/>
        <w:sz w:val="28"/>
        <w:szCs w:val="28"/>
      </w:rPr>
    </w:pPr>
    <w:r>
      <w:rPr>
        <w:rFonts w:ascii="宋体" w:hAnsi="宋体"/>
        <w:sz w:val="28"/>
        <w:szCs w:val="28"/>
      </w:rPr>
      <w:t>—</w:t>
    </w: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8</w:t>
    </w:r>
    <w:r>
      <w:rPr>
        <w:rFonts w:ascii="宋体" w:hAnsi="宋体"/>
        <w:sz w:val="28"/>
        <w:szCs w:val="28"/>
      </w:rPr>
      <w:fldChar w:fldCharType="end"/>
    </w:r>
    <w:r>
      <w:rPr>
        <w:rFonts w:hint="eastAsia" w:ascii="宋体" w:hAnsi="宋体"/>
        <w:sz w:val="28"/>
        <w:szCs w:val="28"/>
      </w:rPr>
      <w:t xml:space="preserve"> </w:t>
    </w:r>
    <w:r>
      <w:rPr>
        <w:rFonts w:ascii="宋体" w:hAnsi="宋体"/>
        <w:sz w:val="28"/>
        <w:szCs w:val="28"/>
      </w:rPr>
      <w:t>—</w:t>
    </w:r>
  </w:p>
  <w:p>
    <w:pPr>
      <w:pStyle w:val="11"/>
      <w:ind w:right="3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right="316"/>
      </w:pPr>
      <w:r>
        <w:separator/>
      </w:r>
    </w:p>
  </w:footnote>
  <w:footnote w:type="continuationSeparator" w:id="1">
    <w:p>
      <w:pPr>
        <w:ind w:right="316"/>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right="3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right="3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right="3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19"/>
  <w:evenAndOddHeaders w:val="1"/>
  <w:drawingGridHorizontalSpacing w:val="158"/>
  <w:drawingGridVerticalSpacing w:val="579"/>
  <w:displayHorizontalDrawingGridEvery w:val="1"/>
  <w:displayVerticalDrawingGridEvery w:val="1"/>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xMTdhN2NiNTU2NGQxNzU2MjRiM2UzNzI5M2M5ZjgifQ=="/>
  </w:docVars>
  <w:rsids>
    <w:rsidRoot w:val="00172A27"/>
    <w:rsid w:val="00000358"/>
    <w:rsid w:val="000003A5"/>
    <w:rsid w:val="00001339"/>
    <w:rsid w:val="000014F2"/>
    <w:rsid w:val="00003BF5"/>
    <w:rsid w:val="0000455F"/>
    <w:rsid w:val="0000523A"/>
    <w:rsid w:val="000055A0"/>
    <w:rsid w:val="000056DB"/>
    <w:rsid w:val="00006905"/>
    <w:rsid w:val="000069F4"/>
    <w:rsid w:val="00010409"/>
    <w:rsid w:val="00010603"/>
    <w:rsid w:val="0001377E"/>
    <w:rsid w:val="00014665"/>
    <w:rsid w:val="00016347"/>
    <w:rsid w:val="00016489"/>
    <w:rsid w:val="00016BA1"/>
    <w:rsid w:val="000173CE"/>
    <w:rsid w:val="000231C7"/>
    <w:rsid w:val="00023B28"/>
    <w:rsid w:val="0002556C"/>
    <w:rsid w:val="0002764C"/>
    <w:rsid w:val="000306A8"/>
    <w:rsid w:val="00030AEC"/>
    <w:rsid w:val="00030EBD"/>
    <w:rsid w:val="00032056"/>
    <w:rsid w:val="000326E0"/>
    <w:rsid w:val="00033544"/>
    <w:rsid w:val="000350BF"/>
    <w:rsid w:val="00035C91"/>
    <w:rsid w:val="0003632A"/>
    <w:rsid w:val="00036E4C"/>
    <w:rsid w:val="00036E5F"/>
    <w:rsid w:val="00037728"/>
    <w:rsid w:val="00037A7E"/>
    <w:rsid w:val="000406B1"/>
    <w:rsid w:val="00043FC2"/>
    <w:rsid w:val="00044C9E"/>
    <w:rsid w:val="00045131"/>
    <w:rsid w:val="00045E96"/>
    <w:rsid w:val="000503C3"/>
    <w:rsid w:val="000507AB"/>
    <w:rsid w:val="000531A9"/>
    <w:rsid w:val="0005365F"/>
    <w:rsid w:val="00053BD4"/>
    <w:rsid w:val="00054596"/>
    <w:rsid w:val="000562DE"/>
    <w:rsid w:val="00060958"/>
    <w:rsid w:val="00060A45"/>
    <w:rsid w:val="00060BEC"/>
    <w:rsid w:val="00061402"/>
    <w:rsid w:val="000620AF"/>
    <w:rsid w:val="00062F6C"/>
    <w:rsid w:val="00064ACD"/>
    <w:rsid w:val="000653FC"/>
    <w:rsid w:val="00065785"/>
    <w:rsid w:val="0006657A"/>
    <w:rsid w:val="00066C08"/>
    <w:rsid w:val="00067043"/>
    <w:rsid w:val="00067C04"/>
    <w:rsid w:val="00071146"/>
    <w:rsid w:val="000713EB"/>
    <w:rsid w:val="000715CD"/>
    <w:rsid w:val="000719B5"/>
    <w:rsid w:val="0007236F"/>
    <w:rsid w:val="00072A35"/>
    <w:rsid w:val="000731AA"/>
    <w:rsid w:val="00073F84"/>
    <w:rsid w:val="00074091"/>
    <w:rsid w:val="000761D1"/>
    <w:rsid w:val="0007694B"/>
    <w:rsid w:val="000802D1"/>
    <w:rsid w:val="00082590"/>
    <w:rsid w:val="00082688"/>
    <w:rsid w:val="00084C1F"/>
    <w:rsid w:val="00084CB0"/>
    <w:rsid w:val="00084CB8"/>
    <w:rsid w:val="00084DF8"/>
    <w:rsid w:val="00086136"/>
    <w:rsid w:val="0008674A"/>
    <w:rsid w:val="0009095E"/>
    <w:rsid w:val="00090C22"/>
    <w:rsid w:val="00090ECC"/>
    <w:rsid w:val="000912E8"/>
    <w:rsid w:val="00093B75"/>
    <w:rsid w:val="00094D51"/>
    <w:rsid w:val="000950E2"/>
    <w:rsid w:val="00095732"/>
    <w:rsid w:val="000979E4"/>
    <w:rsid w:val="00097C60"/>
    <w:rsid w:val="00097FCF"/>
    <w:rsid w:val="000A01CF"/>
    <w:rsid w:val="000A14DA"/>
    <w:rsid w:val="000A1B5D"/>
    <w:rsid w:val="000A1C09"/>
    <w:rsid w:val="000A2314"/>
    <w:rsid w:val="000A3085"/>
    <w:rsid w:val="000A3DD0"/>
    <w:rsid w:val="000A4000"/>
    <w:rsid w:val="000A74B2"/>
    <w:rsid w:val="000A782D"/>
    <w:rsid w:val="000A7CE1"/>
    <w:rsid w:val="000A7F76"/>
    <w:rsid w:val="000B0B91"/>
    <w:rsid w:val="000B19B2"/>
    <w:rsid w:val="000B2739"/>
    <w:rsid w:val="000B2F7E"/>
    <w:rsid w:val="000B3189"/>
    <w:rsid w:val="000B3AC0"/>
    <w:rsid w:val="000B3F3D"/>
    <w:rsid w:val="000B4367"/>
    <w:rsid w:val="000B7362"/>
    <w:rsid w:val="000B7616"/>
    <w:rsid w:val="000B776B"/>
    <w:rsid w:val="000C0C47"/>
    <w:rsid w:val="000C1054"/>
    <w:rsid w:val="000C2875"/>
    <w:rsid w:val="000C52D3"/>
    <w:rsid w:val="000C57D7"/>
    <w:rsid w:val="000C682E"/>
    <w:rsid w:val="000D0791"/>
    <w:rsid w:val="000D210B"/>
    <w:rsid w:val="000D2A94"/>
    <w:rsid w:val="000D3A52"/>
    <w:rsid w:val="000D452D"/>
    <w:rsid w:val="000D64A6"/>
    <w:rsid w:val="000D6DC2"/>
    <w:rsid w:val="000D74AB"/>
    <w:rsid w:val="000D7D2A"/>
    <w:rsid w:val="000E01BA"/>
    <w:rsid w:val="000E024C"/>
    <w:rsid w:val="000E08A4"/>
    <w:rsid w:val="000E0C95"/>
    <w:rsid w:val="000E4C93"/>
    <w:rsid w:val="000E54BC"/>
    <w:rsid w:val="000E5836"/>
    <w:rsid w:val="000E5A71"/>
    <w:rsid w:val="000E762E"/>
    <w:rsid w:val="000E7AC4"/>
    <w:rsid w:val="000F0AB3"/>
    <w:rsid w:val="000F1BBA"/>
    <w:rsid w:val="000F3A5D"/>
    <w:rsid w:val="000F4331"/>
    <w:rsid w:val="000F56E6"/>
    <w:rsid w:val="000F7C06"/>
    <w:rsid w:val="000F7D22"/>
    <w:rsid w:val="000F7D23"/>
    <w:rsid w:val="00100581"/>
    <w:rsid w:val="00100DFD"/>
    <w:rsid w:val="001018B5"/>
    <w:rsid w:val="001019FC"/>
    <w:rsid w:val="00102F56"/>
    <w:rsid w:val="0010321F"/>
    <w:rsid w:val="001042BC"/>
    <w:rsid w:val="0011007F"/>
    <w:rsid w:val="001116AF"/>
    <w:rsid w:val="00111831"/>
    <w:rsid w:val="0011268B"/>
    <w:rsid w:val="00115A21"/>
    <w:rsid w:val="001168BA"/>
    <w:rsid w:val="001172C0"/>
    <w:rsid w:val="001223B5"/>
    <w:rsid w:val="00123F0E"/>
    <w:rsid w:val="00124294"/>
    <w:rsid w:val="00124AD7"/>
    <w:rsid w:val="00124C6E"/>
    <w:rsid w:val="00125D37"/>
    <w:rsid w:val="00126CDE"/>
    <w:rsid w:val="0013177B"/>
    <w:rsid w:val="001320ED"/>
    <w:rsid w:val="0013539A"/>
    <w:rsid w:val="00135438"/>
    <w:rsid w:val="001361C6"/>
    <w:rsid w:val="00140BB6"/>
    <w:rsid w:val="00140DD6"/>
    <w:rsid w:val="00141606"/>
    <w:rsid w:val="00141E1B"/>
    <w:rsid w:val="001423F7"/>
    <w:rsid w:val="00142C83"/>
    <w:rsid w:val="00143D40"/>
    <w:rsid w:val="001442F1"/>
    <w:rsid w:val="0014451E"/>
    <w:rsid w:val="00144B11"/>
    <w:rsid w:val="00144FFD"/>
    <w:rsid w:val="00145B49"/>
    <w:rsid w:val="00147B44"/>
    <w:rsid w:val="00150A40"/>
    <w:rsid w:val="00151E31"/>
    <w:rsid w:val="001529D9"/>
    <w:rsid w:val="00153236"/>
    <w:rsid w:val="00153D64"/>
    <w:rsid w:val="00153EC8"/>
    <w:rsid w:val="00156E28"/>
    <w:rsid w:val="001573FE"/>
    <w:rsid w:val="0016091F"/>
    <w:rsid w:val="00160C42"/>
    <w:rsid w:val="00162FEF"/>
    <w:rsid w:val="0016457A"/>
    <w:rsid w:val="00164D59"/>
    <w:rsid w:val="0016520F"/>
    <w:rsid w:val="00165269"/>
    <w:rsid w:val="00166187"/>
    <w:rsid w:val="00166412"/>
    <w:rsid w:val="00166855"/>
    <w:rsid w:val="00171658"/>
    <w:rsid w:val="00171A2B"/>
    <w:rsid w:val="0017211A"/>
    <w:rsid w:val="00172A27"/>
    <w:rsid w:val="00172A4F"/>
    <w:rsid w:val="00172BB4"/>
    <w:rsid w:val="001737FE"/>
    <w:rsid w:val="0017425C"/>
    <w:rsid w:val="0017573D"/>
    <w:rsid w:val="0017657E"/>
    <w:rsid w:val="00180483"/>
    <w:rsid w:val="0018074F"/>
    <w:rsid w:val="001808D3"/>
    <w:rsid w:val="001823B5"/>
    <w:rsid w:val="001823F2"/>
    <w:rsid w:val="0018259B"/>
    <w:rsid w:val="001846B6"/>
    <w:rsid w:val="001851A6"/>
    <w:rsid w:val="00185AC8"/>
    <w:rsid w:val="00187FF5"/>
    <w:rsid w:val="0019111B"/>
    <w:rsid w:val="00192154"/>
    <w:rsid w:val="001930B3"/>
    <w:rsid w:val="001931E7"/>
    <w:rsid w:val="001938F8"/>
    <w:rsid w:val="00195275"/>
    <w:rsid w:val="00196A48"/>
    <w:rsid w:val="001A112A"/>
    <w:rsid w:val="001A20E8"/>
    <w:rsid w:val="001A2AD5"/>
    <w:rsid w:val="001A2C8D"/>
    <w:rsid w:val="001A3277"/>
    <w:rsid w:val="001A3627"/>
    <w:rsid w:val="001A51D6"/>
    <w:rsid w:val="001A75AF"/>
    <w:rsid w:val="001A791A"/>
    <w:rsid w:val="001A7AAE"/>
    <w:rsid w:val="001B1140"/>
    <w:rsid w:val="001B38D8"/>
    <w:rsid w:val="001B3A18"/>
    <w:rsid w:val="001B3D3C"/>
    <w:rsid w:val="001B3F49"/>
    <w:rsid w:val="001B45CA"/>
    <w:rsid w:val="001B7CF4"/>
    <w:rsid w:val="001C0097"/>
    <w:rsid w:val="001C2AB8"/>
    <w:rsid w:val="001C2D22"/>
    <w:rsid w:val="001C3254"/>
    <w:rsid w:val="001C39FF"/>
    <w:rsid w:val="001C3E87"/>
    <w:rsid w:val="001C54F0"/>
    <w:rsid w:val="001C5BEE"/>
    <w:rsid w:val="001C6467"/>
    <w:rsid w:val="001C779D"/>
    <w:rsid w:val="001D01B2"/>
    <w:rsid w:val="001D1180"/>
    <w:rsid w:val="001D20BA"/>
    <w:rsid w:val="001D265E"/>
    <w:rsid w:val="001D425C"/>
    <w:rsid w:val="001D4DC4"/>
    <w:rsid w:val="001D75C4"/>
    <w:rsid w:val="001E017E"/>
    <w:rsid w:val="001E03F9"/>
    <w:rsid w:val="001E08E8"/>
    <w:rsid w:val="001E0DB0"/>
    <w:rsid w:val="001E1462"/>
    <w:rsid w:val="001E4A98"/>
    <w:rsid w:val="001E4D83"/>
    <w:rsid w:val="001E548E"/>
    <w:rsid w:val="001E6C09"/>
    <w:rsid w:val="001E7C29"/>
    <w:rsid w:val="001F0C65"/>
    <w:rsid w:val="001F114D"/>
    <w:rsid w:val="001F1844"/>
    <w:rsid w:val="001F2288"/>
    <w:rsid w:val="001F2A3B"/>
    <w:rsid w:val="001F5496"/>
    <w:rsid w:val="001F69F8"/>
    <w:rsid w:val="001F6F00"/>
    <w:rsid w:val="001F6FD7"/>
    <w:rsid w:val="00200349"/>
    <w:rsid w:val="00201534"/>
    <w:rsid w:val="00201CDF"/>
    <w:rsid w:val="00202F63"/>
    <w:rsid w:val="0020301E"/>
    <w:rsid w:val="002030E1"/>
    <w:rsid w:val="002044D9"/>
    <w:rsid w:val="0020553B"/>
    <w:rsid w:val="0020557A"/>
    <w:rsid w:val="00206EFD"/>
    <w:rsid w:val="002118D1"/>
    <w:rsid w:val="00211B81"/>
    <w:rsid w:val="00211DA6"/>
    <w:rsid w:val="00211F70"/>
    <w:rsid w:val="002127ED"/>
    <w:rsid w:val="00212D48"/>
    <w:rsid w:val="00213EC5"/>
    <w:rsid w:val="0021585D"/>
    <w:rsid w:val="002162D9"/>
    <w:rsid w:val="002166F3"/>
    <w:rsid w:val="00217A90"/>
    <w:rsid w:val="00220984"/>
    <w:rsid w:val="00221031"/>
    <w:rsid w:val="002218C2"/>
    <w:rsid w:val="002219E9"/>
    <w:rsid w:val="00221C93"/>
    <w:rsid w:val="00222E75"/>
    <w:rsid w:val="00223987"/>
    <w:rsid w:val="00224D03"/>
    <w:rsid w:val="002254CD"/>
    <w:rsid w:val="00225621"/>
    <w:rsid w:val="002278A7"/>
    <w:rsid w:val="00230704"/>
    <w:rsid w:val="00231B07"/>
    <w:rsid w:val="0023333E"/>
    <w:rsid w:val="002346A7"/>
    <w:rsid w:val="00234C39"/>
    <w:rsid w:val="00234FC2"/>
    <w:rsid w:val="00235B80"/>
    <w:rsid w:val="002369D5"/>
    <w:rsid w:val="00236B49"/>
    <w:rsid w:val="00236C61"/>
    <w:rsid w:val="0024039A"/>
    <w:rsid w:val="00240A42"/>
    <w:rsid w:val="00241067"/>
    <w:rsid w:val="00242458"/>
    <w:rsid w:val="00244BF1"/>
    <w:rsid w:val="00244C11"/>
    <w:rsid w:val="00246803"/>
    <w:rsid w:val="002478CE"/>
    <w:rsid w:val="00250692"/>
    <w:rsid w:val="0025149B"/>
    <w:rsid w:val="002524F5"/>
    <w:rsid w:val="00252870"/>
    <w:rsid w:val="00253120"/>
    <w:rsid w:val="0025390E"/>
    <w:rsid w:val="00253DF1"/>
    <w:rsid w:val="002542A7"/>
    <w:rsid w:val="00255BD8"/>
    <w:rsid w:val="00256121"/>
    <w:rsid w:val="0025748D"/>
    <w:rsid w:val="00260B9F"/>
    <w:rsid w:val="00261032"/>
    <w:rsid w:val="00261F57"/>
    <w:rsid w:val="00262051"/>
    <w:rsid w:val="002622EA"/>
    <w:rsid w:val="00263B3F"/>
    <w:rsid w:val="00263B42"/>
    <w:rsid w:val="00264B05"/>
    <w:rsid w:val="00265CA3"/>
    <w:rsid w:val="002666DC"/>
    <w:rsid w:val="00267403"/>
    <w:rsid w:val="002675F6"/>
    <w:rsid w:val="00267E5B"/>
    <w:rsid w:val="00270898"/>
    <w:rsid w:val="0027444E"/>
    <w:rsid w:val="00274B8D"/>
    <w:rsid w:val="0027565D"/>
    <w:rsid w:val="00275DDA"/>
    <w:rsid w:val="00276294"/>
    <w:rsid w:val="002767FF"/>
    <w:rsid w:val="00282F81"/>
    <w:rsid w:val="0028339F"/>
    <w:rsid w:val="00283C08"/>
    <w:rsid w:val="00284CFA"/>
    <w:rsid w:val="00284E4D"/>
    <w:rsid w:val="002852C9"/>
    <w:rsid w:val="00285478"/>
    <w:rsid w:val="00287029"/>
    <w:rsid w:val="002872FB"/>
    <w:rsid w:val="002875D8"/>
    <w:rsid w:val="002900AA"/>
    <w:rsid w:val="00292037"/>
    <w:rsid w:val="002930D1"/>
    <w:rsid w:val="00293353"/>
    <w:rsid w:val="00293D56"/>
    <w:rsid w:val="00294083"/>
    <w:rsid w:val="002940EA"/>
    <w:rsid w:val="00294900"/>
    <w:rsid w:val="00295E24"/>
    <w:rsid w:val="002975DB"/>
    <w:rsid w:val="00297623"/>
    <w:rsid w:val="002A2099"/>
    <w:rsid w:val="002A25B3"/>
    <w:rsid w:val="002A2735"/>
    <w:rsid w:val="002A6492"/>
    <w:rsid w:val="002A6E3F"/>
    <w:rsid w:val="002A778A"/>
    <w:rsid w:val="002A7E51"/>
    <w:rsid w:val="002B0555"/>
    <w:rsid w:val="002B06C8"/>
    <w:rsid w:val="002B2804"/>
    <w:rsid w:val="002B2BFA"/>
    <w:rsid w:val="002B4446"/>
    <w:rsid w:val="002B46FA"/>
    <w:rsid w:val="002B49E4"/>
    <w:rsid w:val="002B676E"/>
    <w:rsid w:val="002B7737"/>
    <w:rsid w:val="002B7F2A"/>
    <w:rsid w:val="002C0784"/>
    <w:rsid w:val="002C0EE0"/>
    <w:rsid w:val="002C1747"/>
    <w:rsid w:val="002C2DDA"/>
    <w:rsid w:val="002C3040"/>
    <w:rsid w:val="002C4E56"/>
    <w:rsid w:val="002C63D9"/>
    <w:rsid w:val="002C6E84"/>
    <w:rsid w:val="002C71CC"/>
    <w:rsid w:val="002C7E13"/>
    <w:rsid w:val="002C7F42"/>
    <w:rsid w:val="002D0A42"/>
    <w:rsid w:val="002D0C86"/>
    <w:rsid w:val="002D0CEA"/>
    <w:rsid w:val="002D122E"/>
    <w:rsid w:val="002D1554"/>
    <w:rsid w:val="002D15CC"/>
    <w:rsid w:val="002D1A03"/>
    <w:rsid w:val="002D298F"/>
    <w:rsid w:val="002D3085"/>
    <w:rsid w:val="002D346F"/>
    <w:rsid w:val="002D43D0"/>
    <w:rsid w:val="002D4AEC"/>
    <w:rsid w:val="002D4D59"/>
    <w:rsid w:val="002D4F21"/>
    <w:rsid w:val="002D5DA4"/>
    <w:rsid w:val="002D65B0"/>
    <w:rsid w:val="002D663E"/>
    <w:rsid w:val="002D6B98"/>
    <w:rsid w:val="002D7A92"/>
    <w:rsid w:val="002D7C9B"/>
    <w:rsid w:val="002E0124"/>
    <w:rsid w:val="002E0C2B"/>
    <w:rsid w:val="002E143C"/>
    <w:rsid w:val="002E15F7"/>
    <w:rsid w:val="002E2EDE"/>
    <w:rsid w:val="002E3BA8"/>
    <w:rsid w:val="002E3F04"/>
    <w:rsid w:val="002E406F"/>
    <w:rsid w:val="002E4C1E"/>
    <w:rsid w:val="002F1371"/>
    <w:rsid w:val="002F1BFC"/>
    <w:rsid w:val="002F2603"/>
    <w:rsid w:val="002F336F"/>
    <w:rsid w:val="002F43F4"/>
    <w:rsid w:val="002F74C6"/>
    <w:rsid w:val="002F7690"/>
    <w:rsid w:val="00300BC1"/>
    <w:rsid w:val="00301124"/>
    <w:rsid w:val="00302A71"/>
    <w:rsid w:val="00302E37"/>
    <w:rsid w:val="003040B3"/>
    <w:rsid w:val="003046C4"/>
    <w:rsid w:val="003046EB"/>
    <w:rsid w:val="003054B8"/>
    <w:rsid w:val="003054F4"/>
    <w:rsid w:val="00305636"/>
    <w:rsid w:val="00306092"/>
    <w:rsid w:val="003066FA"/>
    <w:rsid w:val="003067CB"/>
    <w:rsid w:val="003075EA"/>
    <w:rsid w:val="00307D46"/>
    <w:rsid w:val="0031095B"/>
    <w:rsid w:val="00310A93"/>
    <w:rsid w:val="0031144C"/>
    <w:rsid w:val="0031199E"/>
    <w:rsid w:val="00311B0B"/>
    <w:rsid w:val="00311CC7"/>
    <w:rsid w:val="0031210E"/>
    <w:rsid w:val="003121DF"/>
    <w:rsid w:val="00312374"/>
    <w:rsid w:val="00315741"/>
    <w:rsid w:val="00315AE5"/>
    <w:rsid w:val="00315FC8"/>
    <w:rsid w:val="003201CC"/>
    <w:rsid w:val="003214A0"/>
    <w:rsid w:val="00321C54"/>
    <w:rsid w:val="00322773"/>
    <w:rsid w:val="00322BE9"/>
    <w:rsid w:val="003234BF"/>
    <w:rsid w:val="0032481E"/>
    <w:rsid w:val="00324DAA"/>
    <w:rsid w:val="00325607"/>
    <w:rsid w:val="00325CF6"/>
    <w:rsid w:val="00326222"/>
    <w:rsid w:val="0032737B"/>
    <w:rsid w:val="003276D4"/>
    <w:rsid w:val="00330630"/>
    <w:rsid w:val="0033386A"/>
    <w:rsid w:val="003350AB"/>
    <w:rsid w:val="00335478"/>
    <w:rsid w:val="0033572B"/>
    <w:rsid w:val="003370C4"/>
    <w:rsid w:val="00341664"/>
    <w:rsid w:val="00341957"/>
    <w:rsid w:val="003420F3"/>
    <w:rsid w:val="00342205"/>
    <w:rsid w:val="0034299B"/>
    <w:rsid w:val="00343F3D"/>
    <w:rsid w:val="0034407B"/>
    <w:rsid w:val="00344972"/>
    <w:rsid w:val="00344B2A"/>
    <w:rsid w:val="00344B55"/>
    <w:rsid w:val="00344E03"/>
    <w:rsid w:val="00345391"/>
    <w:rsid w:val="00345627"/>
    <w:rsid w:val="00345FC6"/>
    <w:rsid w:val="00347012"/>
    <w:rsid w:val="003474AB"/>
    <w:rsid w:val="003500AA"/>
    <w:rsid w:val="003506F6"/>
    <w:rsid w:val="003531E2"/>
    <w:rsid w:val="00353390"/>
    <w:rsid w:val="00354884"/>
    <w:rsid w:val="0035488D"/>
    <w:rsid w:val="003548A4"/>
    <w:rsid w:val="00355028"/>
    <w:rsid w:val="00357814"/>
    <w:rsid w:val="00360639"/>
    <w:rsid w:val="00362624"/>
    <w:rsid w:val="00362C39"/>
    <w:rsid w:val="00363656"/>
    <w:rsid w:val="00363D76"/>
    <w:rsid w:val="00363FF2"/>
    <w:rsid w:val="003655F3"/>
    <w:rsid w:val="003662DF"/>
    <w:rsid w:val="00370892"/>
    <w:rsid w:val="003717DC"/>
    <w:rsid w:val="003718ED"/>
    <w:rsid w:val="00372E78"/>
    <w:rsid w:val="0037358B"/>
    <w:rsid w:val="00374945"/>
    <w:rsid w:val="00375812"/>
    <w:rsid w:val="00375B12"/>
    <w:rsid w:val="00380507"/>
    <w:rsid w:val="00380DFB"/>
    <w:rsid w:val="003810B1"/>
    <w:rsid w:val="00381229"/>
    <w:rsid w:val="003823E4"/>
    <w:rsid w:val="00383595"/>
    <w:rsid w:val="003838F0"/>
    <w:rsid w:val="00384DA2"/>
    <w:rsid w:val="00390350"/>
    <w:rsid w:val="0039064F"/>
    <w:rsid w:val="00390DC4"/>
    <w:rsid w:val="0039580E"/>
    <w:rsid w:val="0039583E"/>
    <w:rsid w:val="00396293"/>
    <w:rsid w:val="00396A71"/>
    <w:rsid w:val="003977D2"/>
    <w:rsid w:val="00397EC7"/>
    <w:rsid w:val="00397F8A"/>
    <w:rsid w:val="003A15F3"/>
    <w:rsid w:val="003A28F9"/>
    <w:rsid w:val="003A2977"/>
    <w:rsid w:val="003A42DD"/>
    <w:rsid w:val="003A5229"/>
    <w:rsid w:val="003A56C2"/>
    <w:rsid w:val="003B0A4F"/>
    <w:rsid w:val="003B0D7A"/>
    <w:rsid w:val="003B31D9"/>
    <w:rsid w:val="003B3FA0"/>
    <w:rsid w:val="003B5117"/>
    <w:rsid w:val="003B523A"/>
    <w:rsid w:val="003B5A02"/>
    <w:rsid w:val="003B5FC6"/>
    <w:rsid w:val="003B6D1F"/>
    <w:rsid w:val="003B742D"/>
    <w:rsid w:val="003C111D"/>
    <w:rsid w:val="003C1E87"/>
    <w:rsid w:val="003C2DA3"/>
    <w:rsid w:val="003C2DDE"/>
    <w:rsid w:val="003C329A"/>
    <w:rsid w:val="003C3E6A"/>
    <w:rsid w:val="003C41D4"/>
    <w:rsid w:val="003C4790"/>
    <w:rsid w:val="003C663B"/>
    <w:rsid w:val="003C7714"/>
    <w:rsid w:val="003D06F7"/>
    <w:rsid w:val="003D0708"/>
    <w:rsid w:val="003D1A55"/>
    <w:rsid w:val="003D1F99"/>
    <w:rsid w:val="003D332F"/>
    <w:rsid w:val="003D3663"/>
    <w:rsid w:val="003D4854"/>
    <w:rsid w:val="003D491B"/>
    <w:rsid w:val="003D5D2F"/>
    <w:rsid w:val="003D5DC6"/>
    <w:rsid w:val="003D6379"/>
    <w:rsid w:val="003D75E9"/>
    <w:rsid w:val="003E1759"/>
    <w:rsid w:val="003E2D85"/>
    <w:rsid w:val="003E38CE"/>
    <w:rsid w:val="003E3A4E"/>
    <w:rsid w:val="003E4C0D"/>
    <w:rsid w:val="003E5659"/>
    <w:rsid w:val="003E764D"/>
    <w:rsid w:val="003E78FB"/>
    <w:rsid w:val="003F0152"/>
    <w:rsid w:val="003F1804"/>
    <w:rsid w:val="003F2386"/>
    <w:rsid w:val="003F4409"/>
    <w:rsid w:val="003F4DD1"/>
    <w:rsid w:val="003F5B38"/>
    <w:rsid w:val="003F6FE1"/>
    <w:rsid w:val="003F7E03"/>
    <w:rsid w:val="00400D90"/>
    <w:rsid w:val="00401097"/>
    <w:rsid w:val="004023BF"/>
    <w:rsid w:val="0040389D"/>
    <w:rsid w:val="004062B8"/>
    <w:rsid w:val="00406B71"/>
    <w:rsid w:val="00407303"/>
    <w:rsid w:val="00407B3F"/>
    <w:rsid w:val="00407FF4"/>
    <w:rsid w:val="004101D7"/>
    <w:rsid w:val="00410588"/>
    <w:rsid w:val="00410E2B"/>
    <w:rsid w:val="00411A85"/>
    <w:rsid w:val="004128F9"/>
    <w:rsid w:val="0041354F"/>
    <w:rsid w:val="0041403B"/>
    <w:rsid w:val="00414684"/>
    <w:rsid w:val="00414DEC"/>
    <w:rsid w:val="004150FB"/>
    <w:rsid w:val="004153B8"/>
    <w:rsid w:val="00416110"/>
    <w:rsid w:val="0041774D"/>
    <w:rsid w:val="00417A0D"/>
    <w:rsid w:val="00417A88"/>
    <w:rsid w:val="00417DF3"/>
    <w:rsid w:val="00420046"/>
    <w:rsid w:val="0042005A"/>
    <w:rsid w:val="0042024A"/>
    <w:rsid w:val="00420C48"/>
    <w:rsid w:val="004237E8"/>
    <w:rsid w:val="00423D89"/>
    <w:rsid w:val="004247A0"/>
    <w:rsid w:val="0042578D"/>
    <w:rsid w:val="0042632F"/>
    <w:rsid w:val="00426692"/>
    <w:rsid w:val="00427F31"/>
    <w:rsid w:val="00427F85"/>
    <w:rsid w:val="00430314"/>
    <w:rsid w:val="00430D2B"/>
    <w:rsid w:val="0043213F"/>
    <w:rsid w:val="00432998"/>
    <w:rsid w:val="00433263"/>
    <w:rsid w:val="0043353A"/>
    <w:rsid w:val="00433EF3"/>
    <w:rsid w:val="00434197"/>
    <w:rsid w:val="00435436"/>
    <w:rsid w:val="00435D94"/>
    <w:rsid w:val="00440443"/>
    <w:rsid w:val="00440F57"/>
    <w:rsid w:val="00441819"/>
    <w:rsid w:val="00441FA1"/>
    <w:rsid w:val="0044343A"/>
    <w:rsid w:val="0044352B"/>
    <w:rsid w:val="00443B3B"/>
    <w:rsid w:val="00443D58"/>
    <w:rsid w:val="00443DF8"/>
    <w:rsid w:val="00444A49"/>
    <w:rsid w:val="00445860"/>
    <w:rsid w:val="00445CB0"/>
    <w:rsid w:val="00446A25"/>
    <w:rsid w:val="004471B2"/>
    <w:rsid w:val="00447982"/>
    <w:rsid w:val="004479DC"/>
    <w:rsid w:val="00447A38"/>
    <w:rsid w:val="00447DAB"/>
    <w:rsid w:val="00452BA5"/>
    <w:rsid w:val="004531BA"/>
    <w:rsid w:val="00454DA1"/>
    <w:rsid w:val="00454EFD"/>
    <w:rsid w:val="0045512A"/>
    <w:rsid w:val="0045730A"/>
    <w:rsid w:val="0045787E"/>
    <w:rsid w:val="00457B04"/>
    <w:rsid w:val="0046073C"/>
    <w:rsid w:val="00460D4C"/>
    <w:rsid w:val="00461813"/>
    <w:rsid w:val="00462355"/>
    <w:rsid w:val="00466DA7"/>
    <w:rsid w:val="00467033"/>
    <w:rsid w:val="00470935"/>
    <w:rsid w:val="004709AB"/>
    <w:rsid w:val="0047263F"/>
    <w:rsid w:val="0047279D"/>
    <w:rsid w:val="00473548"/>
    <w:rsid w:val="00473B7F"/>
    <w:rsid w:val="00473FC4"/>
    <w:rsid w:val="00474067"/>
    <w:rsid w:val="004743D6"/>
    <w:rsid w:val="004760CF"/>
    <w:rsid w:val="00476222"/>
    <w:rsid w:val="00476BD4"/>
    <w:rsid w:val="00476D18"/>
    <w:rsid w:val="0047703A"/>
    <w:rsid w:val="00480AB9"/>
    <w:rsid w:val="00482A0B"/>
    <w:rsid w:val="00484437"/>
    <w:rsid w:val="00484540"/>
    <w:rsid w:val="004874F0"/>
    <w:rsid w:val="00487B8A"/>
    <w:rsid w:val="0049064C"/>
    <w:rsid w:val="0049071B"/>
    <w:rsid w:val="00490F76"/>
    <w:rsid w:val="00491042"/>
    <w:rsid w:val="004910CF"/>
    <w:rsid w:val="00492824"/>
    <w:rsid w:val="00493097"/>
    <w:rsid w:val="00494045"/>
    <w:rsid w:val="00495B9C"/>
    <w:rsid w:val="00495E31"/>
    <w:rsid w:val="004961D9"/>
    <w:rsid w:val="004962B7"/>
    <w:rsid w:val="0049680B"/>
    <w:rsid w:val="0049763A"/>
    <w:rsid w:val="004A0125"/>
    <w:rsid w:val="004A066E"/>
    <w:rsid w:val="004A09E6"/>
    <w:rsid w:val="004A2F91"/>
    <w:rsid w:val="004A334F"/>
    <w:rsid w:val="004A352C"/>
    <w:rsid w:val="004A35CD"/>
    <w:rsid w:val="004A4989"/>
    <w:rsid w:val="004A517B"/>
    <w:rsid w:val="004A5214"/>
    <w:rsid w:val="004A5E7C"/>
    <w:rsid w:val="004A628E"/>
    <w:rsid w:val="004A63BD"/>
    <w:rsid w:val="004A767B"/>
    <w:rsid w:val="004A7BA4"/>
    <w:rsid w:val="004B02EA"/>
    <w:rsid w:val="004B3204"/>
    <w:rsid w:val="004B5336"/>
    <w:rsid w:val="004B5C48"/>
    <w:rsid w:val="004B640A"/>
    <w:rsid w:val="004B690E"/>
    <w:rsid w:val="004C0217"/>
    <w:rsid w:val="004C06DA"/>
    <w:rsid w:val="004C0E61"/>
    <w:rsid w:val="004C1616"/>
    <w:rsid w:val="004C41CC"/>
    <w:rsid w:val="004C63D5"/>
    <w:rsid w:val="004C7799"/>
    <w:rsid w:val="004D0920"/>
    <w:rsid w:val="004D0C37"/>
    <w:rsid w:val="004D0FD1"/>
    <w:rsid w:val="004D1596"/>
    <w:rsid w:val="004D1961"/>
    <w:rsid w:val="004D2382"/>
    <w:rsid w:val="004D2BD6"/>
    <w:rsid w:val="004D2F33"/>
    <w:rsid w:val="004D3C92"/>
    <w:rsid w:val="004D4438"/>
    <w:rsid w:val="004D47B5"/>
    <w:rsid w:val="004D65B6"/>
    <w:rsid w:val="004D6FCF"/>
    <w:rsid w:val="004D70DC"/>
    <w:rsid w:val="004D71D6"/>
    <w:rsid w:val="004D79C4"/>
    <w:rsid w:val="004D79ED"/>
    <w:rsid w:val="004E0701"/>
    <w:rsid w:val="004E0A56"/>
    <w:rsid w:val="004E1F87"/>
    <w:rsid w:val="004E2B25"/>
    <w:rsid w:val="004E34CD"/>
    <w:rsid w:val="004E3CCC"/>
    <w:rsid w:val="004E4F5F"/>
    <w:rsid w:val="004E55F8"/>
    <w:rsid w:val="004E5B63"/>
    <w:rsid w:val="004E7D0F"/>
    <w:rsid w:val="004F0677"/>
    <w:rsid w:val="004F0726"/>
    <w:rsid w:val="004F113F"/>
    <w:rsid w:val="004F2C50"/>
    <w:rsid w:val="004F3BBA"/>
    <w:rsid w:val="004F4B8B"/>
    <w:rsid w:val="004F548C"/>
    <w:rsid w:val="00500C0B"/>
    <w:rsid w:val="00500F10"/>
    <w:rsid w:val="00501033"/>
    <w:rsid w:val="005011E9"/>
    <w:rsid w:val="00502CBF"/>
    <w:rsid w:val="00506096"/>
    <w:rsid w:val="0050685D"/>
    <w:rsid w:val="00507881"/>
    <w:rsid w:val="005109CE"/>
    <w:rsid w:val="00511185"/>
    <w:rsid w:val="00512653"/>
    <w:rsid w:val="0051383F"/>
    <w:rsid w:val="005142AC"/>
    <w:rsid w:val="00514C13"/>
    <w:rsid w:val="00515485"/>
    <w:rsid w:val="00516A3F"/>
    <w:rsid w:val="00516BE2"/>
    <w:rsid w:val="005206F4"/>
    <w:rsid w:val="005209E6"/>
    <w:rsid w:val="00520A96"/>
    <w:rsid w:val="00520E96"/>
    <w:rsid w:val="005221DB"/>
    <w:rsid w:val="0052228B"/>
    <w:rsid w:val="00523903"/>
    <w:rsid w:val="005255CC"/>
    <w:rsid w:val="005262CE"/>
    <w:rsid w:val="00526B7B"/>
    <w:rsid w:val="00526E1C"/>
    <w:rsid w:val="005306F1"/>
    <w:rsid w:val="00531905"/>
    <w:rsid w:val="00532F42"/>
    <w:rsid w:val="005331BE"/>
    <w:rsid w:val="00534168"/>
    <w:rsid w:val="005346CE"/>
    <w:rsid w:val="00535C2C"/>
    <w:rsid w:val="00537B45"/>
    <w:rsid w:val="005402B8"/>
    <w:rsid w:val="0054495C"/>
    <w:rsid w:val="00544EF4"/>
    <w:rsid w:val="00545047"/>
    <w:rsid w:val="005462BC"/>
    <w:rsid w:val="00547FA6"/>
    <w:rsid w:val="005501AC"/>
    <w:rsid w:val="00550416"/>
    <w:rsid w:val="00550761"/>
    <w:rsid w:val="0055422B"/>
    <w:rsid w:val="00556DB4"/>
    <w:rsid w:val="005603EA"/>
    <w:rsid w:val="00560592"/>
    <w:rsid w:val="00560D07"/>
    <w:rsid w:val="00561214"/>
    <w:rsid w:val="005613ED"/>
    <w:rsid w:val="005625C4"/>
    <w:rsid w:val="00562C1B"/>
    <w:rsid w:val="00564808"/>
    <w:rsid w:val="005654A4"/>
    <w:rsid w:val="00567CD2"/>
    <w:rsid w:val="005706E7"/>
    <w:rsid w:val="00571272"/>
    <w:rsid w:val="00571357"/>
    <w:rsid w:val="00571FD2"/>
    <w:rsid w:val="00572A0D"/>
    <w:rsid w:val="00572D1D"/>
    <w:rsid w:val="00572EE1"/>
    <w:rsid w:val="00574F78"/>
    <w:rsid w:val="00575610"/>
    <w:rsid w:val="005756C7"/>
    <w:rsid w:val="005767D5"/>
    <w:rsid w:val="00576AFC"/>
    <w:rsid w:val="00577905"/>
    <w:rsid w:val="005802AB"/>
    <w:rsid w:val="005802E0"/>
    <w:rsid w:val="00580CB2"/>
    <w:rsid w:val="00580CBE"/>
    <w:rsid w:val="00581C34"/>
    <w:rsid w:val="00581D54"/>
    <w:rsid w:val="00582452"/>
    <w:rsid w:val="00584939"/>
    <w:rsid w:val="00584D2E"/>
    <w:rsid w:val="005917DF"/>
    <w:rsid w:val="00591F9C"/>
    <w:rsid w:val="00592B4D"/>
    <w:rsid w:val="00592C13"/>
    <w:rsid w:val="005940BC"/>
    <w:rsid w:val="005954F8"/>
    <w:rsid w:val="005A0D29"/>
    <w:rsid w:val="005A14AB"/>
    <w:rsid w:val="005A15E9"/>
    <w:rsid w:val="005A2536"/>
    <w:rsid w:val="005A32F7"/>
    <w:rsid w:val="005A4D4C"/>
    <w:rsid w:val="005A4EA9"/>
    <w:rsid w:val="005A5111"/>
    <w:rsid w:val="005B2873"/>
    <w:rsid w:val="005B4566"/>
    <w:rsid w:val="005B4A66"/>
    <w:rsid w:val="005B52B5"/>
    <w:rsid w:val="005B7789"/>
    <w:rsid w:val="005C0B6E"/>
    <w:rsid w:val="005C0FDF"/>
    <w:rsid w:val="005C11BE"/>
    <w:rsid w:val="005C4921"/>
    <w:rsid w:val="005C554A"/>
    <w:rsid w:val="005C5E42"/>
    <w:rsid w:val="005C6029"/>
    <w:rsid w:val="005C6D83"/>
    <w:rsid w:val="005C7630"/>
    <w:rsid w:val="005C7DFD"/>
    <w:rsid w:val="005D051E"/>
    <w:rsid w:val="005D05AF"/>
    <w:rsid w:val="005D1DDD"/>
    <w:rsid w:val="005D1E57"/>
    <w:rsid w:val="005D29E0"/>
    <w:rsid w:val="005D3362"/>
    <w:rsid w:val="005D5515"/>
    <w:rsid w:val="005D6091"/>
    <w:rsid w:val="005D61C6"/>
    <w:rsid w:val="005D66A2"/>
    <w:rsid w:val="005D6753"/>
    <w:rsid w:val="005D6EED"/>
    <w:rsid w:val="005E0DA9"/>
    <w:rsid w:val="005E0F17"/>
    <w:rsid w:val="005E105F"/>
    <w:rsid w:val="005E136A"/>
    <w:rsid w:val="005E35CE"/>
    <w:rsid w:val="005E3B07"/>
    <w:rsid w:val="005E3CEA"/>
    <w:rsid w:val="005E43A9"/>
    <w:rsid w:val="005E4EBA"/>
    <w:rsid w:val="005E726B"/>
    <w:rsid w:val="005E7DDC"/>
    <w:rsid w:val="005F14D9"/>
    <w:rsid w:val="005F1536"/>
    <w:rsid w:val="005F2249"/>
    <w:rsid w:val="005F239F"/>
    <w:rsid w:val="005F286B"/>
    <w:rsid w:val="005F2D06"/>
    <w:rsid w:val="005F5523"/>
    <w:rsid w:val="005F62F2"/>
    <w:rsid w:val="005F63AE"/>
    <w:rsid w:val="005F7640"/>
    <w:rsid w:val="00600A1B"/>
    <w:rsid w:val="006016F8"/>
    <w:rsid w:val="00602B2A"/>
    <w:rsid w:val="00606423"/>
    <w:rsid w:val="0060642D"/>
    <w:rsid w:val="00606494"/>
    <w:rsid w:val="00607256"/>
    <w:rsid w:val="00607A8B"/>
    <w:rsid w:val="006111BA"/>
    <w:rsid w:val="0061334B"/>
    <w:rsid w:val="00613A70"/>
    <w:rsid w:val="00614037"/>
    <w:rsid w:val="006156E8"/>
    <w:rsid w:val="0061681F"/>
    <w:rsid w:val="00616FEE"/>
    <w:rsid w:val="0062398E"/>
    <w:rsid w:val="00627E37"/>
    <w:rsid w:val="006305FB"/>
    <w:rsid w:val="0063134B"/>
    <w:rsid w:val="0063288A"/>
    <w:rsid w:val="00632A47"/>
    <w:rsid w:val="00633422"/>
    <w:rsid w:val="00633D6F"/>
    <w:rsid w:val="00634554"/>
    <w:rsid w:val="006356D4"/>
    <w:rsid w:val="006377FE"/>
    <w:rsid w:val="00640038"/>
    <w:rsid w:val="00642690"/>
    <w:rsid w:val="006427C0"/>
    <w:rsid w:val="00642948"/>
    <w:rsid w:val="006465A4"/>
    <w:rsid w:val="006466BC"/>
    <w:rsid w:val="00647EEF"/>
    <w:rsid w:val="00650451"/>
    <w:rsid w:val="00651A88"/>
    <w:rsid w:val="006521CB"/>
    <w:rsid w:val="00652748"/>
    <w:rsid w:val="0065389F"/>
    <w:rsid w:val="0065448A"/>
    <w:rsid w:val="00654A4E"/>
    <w:rsid w:val="006550FC"/>
    <w:rsid w:val="006556EB"/>
    <w:rsid w:val="00656254"/>
    <w:rsid w:val="00656B18"/>
    <w:rsid w:val="0065714F"/>
    <w:rsid w:val="00662528"/>
    <w:rsid w:val="00664850"/>
    <w:rsid w:val="006661B3"/>
    <w:rsid w:val="00666D6E"/>
    <w:rsid w:val="00667D2C"/>
    <w:rsid w:val="00670EB8"/>
    <w:rsid w:val="0067118C"/>
    <w:rsid w:val="00672252"/>
    <w:rsid w:val="00672F70"/>
    <w:rsid w:val="0067318E"/>
    <w:rsid w:val="0067572A"/>
    <w:rsid w:val="0067618C"/>
    <w:rsid w:val="006763D4"/>
    <w:rsid w:val="00676CC6"/>
    <w:rsid w:val="00677901"/>
    <w:rsid w:val="00680721"/>
    <w:rsid w:val="00680B81"/>
    <w:rsid w:val="00681A6D"/>
    <w:rsid w:val="006828B9"/>
    <w:rsid w:val="00682913"/>
    <w:rsid w:val="00682A72"/>
    <w:rsid w:val="00682D81"/>
    <w:rsid w:val="00683D55"/>
    <w:rsid w:val="00684504"/>
    <w:rsid w:val="00684DD5"/>
    <w:rsid w:val="006852E2"/>
    <w:rsid w:val="006853EA"/>
    <w:rsid w:val="0068673D"/>
    <w:rsid w:val="00686FBB"/>
    <w:rsid w:val="00691356"/>
    <w:rsid w:val="00691D18"/>
    <w:rsid w:val="00691E3D"/>
    <w:rsid w:val="0069369C"/>
    <w:rsid w:val="006942A4"/>
    <w:rsid w:val="00695F1A"/>
    <w:rsid w:val="006973DF"/>
    <w:rsid w:val="0069786C"/>
    <w:rsid w:val="006A0CFF"/>
    <w:rsid w:val="006A1C24"/>
    <w:rsid w:val="006A26DA"/>
    <w:rsid w:val="006A55D3"/>
    <w:rsid w:val="006A7070"/>
    <w:rsid w:val="006B008F"/>
    <w:rsid w:val="006B12B5"/>
    <w:rsid w:val="006B3874"/>
    <w:rsid w:val="006B3BF9"/>
    <w:rsid w:val="006B41A6"/>
    <w:rsid w:val="006B42A1"/>
    <w:rsid w:val="006B5507"/>
    <w:rsid w:val="006B5FB8"/>
    <w:rsid w:val="006B6A55"/>
    <w:rsid w:val="006B7957"/>
    <w:rsid w:val="006C0C87"/>
    <w:rsid w:val="006C1687"/>
    <w:rsid w:val="006C1836"/>
    <w:rsid w:val="006C1B3C"/>
    <w:rsid w:val="006C2A3D"/>
    <w:rsid w:val="006C2A8B"/>
    <w:rsid w:val="006C2D27"/>
    <w:rsid w:val="006C3A53"/>
    <w:rsid w:val="006C3C3B"/>
    <w:rsid w:val="006C5C75"/>
    <w:rsid w:val="006C71F7"/>
    <w:rsid w:val="006C7F48"/>
    <w:rsid w:val="006D0E98"/>
    <w:rsid w:val="006D18F8"/>
    <w:rsid w:val="006D1B37"/>
    <w:rsid w:val="006D3930"/>
    <w:rsid w:val="006D43C3"/>
    <w:rsid w:val="006D4D86"/>
    <w:rsid w:val="006D4EE9"/>
    <w:rsid w:val="006D4FAE"/>
    <w:rsid w:val="006D5E0F"/>
    <w:rsid w:val="006D6167"/>
    <w:rsid w:val="006D6DA2"/>
    <w:rsid w:val="006D6DB0"/>
    <w:rsid w:val="006D7476"/>
    <w:rsid w:val="006E0058"/>
    <w:rsid w:val="006E1AF2"/>
    <w:rsid w:val="006E26A1"/>
    <w:rsid w:val="006E3A62"/>
    <w:rsid w:val="006E4A57"/>
    <w:rsid w:val="006E65A8"/>
    <w:rsid w:val="006E76D6"/>
    <w:rsid w:val="006F0062"/>
    <w:rsid w:val="006F07B7"/>
    <w:rsid w:val="006F1128"/>
    <w:rsid w:val="006F21B1"/>
    <w:rsid w:val="006F3F50"/>
    <w:rsid w:val="006F5D98"/>
    <w:rsid w:val="006F6E3E"/>
    <w:rsid w:val="006F725A"/>
    <w:rsid w:val="006F7BB8"/>
    <w:rsid w:val="0070374A"/>
    <w:rsid w:val="007038FB"/>
    <w:rsid w:val="00704367"/>
    <w:rsid w:val="00705D6F"/>
    <w:rsid w:val="00706263"/>
    <w:rsid w:val="0070633C"/>
    <w:rsid w:val="00707284"/>
    <w:rsid w:val="00707E9A"/>
    <w:rsid w:val="00710EF9"/>
    <w:rsid w:val="00712294"/>
    <w:rsid w:val="00712928"/>
    <w:rsid w:val="00712D62"/>
    <w:rsid w:val="00712EDC"/>
    <w:rsid w:val="00714E26"/>
    <w:rsid w:val="00715FBE"/>
    <w:rsid w:val="0071629A"/>
    <w:rsid w:val="00717156"/>
    <w:rsid w:val="007171FA"/>
    <w:rsid w:val="00717641"/>
    <w:rsid w:val="0072089B"/>
    <w:rsid w:val="0072530E"/>
    <w:rsid w:val="00725B97"/>
    <w:rsid w:val="00726386"/>
    <w:rsid w:val="00726428"/>
    <w:rsid w:val="007275A9"/>
    <w:rsid w:val="007304EB"/>
    <w:rsid w:val="0073067B"/>
    <w:rsid w:val="00731F5E"/>
    <w:rsid w:val="007337C2"/>
    <w:rsid w:val="00733B17"/>
    <w:rsid w:val="00734476"/>
    <w:rsid w:val="0073483C"/>
    <w:rsid w:val="00740A68"/>
    <w:rsid w:val="007411BA"/>
    <w:rsid w:val="007411D8"/>
    <w:rsid w:val="00741298"/>
    <w:rsid w:val="007417FD"/>
    <w:rsid w:val="007425B4"/>
    <w:rsid w:val="007429E6"/>
    <w:rsid w:val="007434D3"/>
    <w:rsid w:val="0074365F"/>
    <w:rsid w:val="00743CB4"/>
    <w:rsid w:val="00743D6C"/>
    <w:rsid w:val="00744230"/>
    <w:rsid w:val="007446A5"/>
    <w:rsid w:val="007452EC"/>
    <w:rsid w:val="0074746E"/>
    <w:rsid w:val="00747844"/>
    <w:rsid w:val="00747CF8"/>
    <w:rsid w:val="007530E8"/>
    <w:rsid w:val="007539BB"/>
    <w:rsid w:val="00753DFC"/>
    <w:rsid w:val="007540E7"/>
    <w:rsid w:val="007554DC"/>
    <w:rsid w:val="007560CF"/>
    <w:rsid w:val="0075685E"/>
    <w:rsid w:val="007617DB"/>
    <w:rsid w:val="00761C14"/>
    <w:rsid w:val="00762AC0"/>
    <w:rsid w:val="007639F2"/>
    <w:rsid w:val="00763C26"/>
    <w:rsid w:val="00764967"/>
    <w:rsid w:val="00764DFC"/>
    <w:rsid w:val="00765FD4"/>
    <w:rsid w:val="00767090"/>
    <w:rsid w:val="00767600"/>
    <w:rsid w:val="00767A67"/>
    <w:rsid w:val="007705D0"/>
    <w:rsid w:val="00772168"/>
    <w:rsid w:val="00772FCE"/>
    <w:rsid w:val="007739C1"/>
    <w:rsid w:val="00773A38"/>
    <w:rsid w:val="0077527E"/>
    <w:rsid w:val="007800E4"/>
    <w:rsid w:val="0078012E"/>
    <w:rsid w:val="007826A6"/>
    <w:rsid w:val="007849C6"/>
    <w:rsid w:val="007859FE"/>
    <w:rsid w:val="0078638E"/>
    <w:rsid w:val="0078726D"/>
    <w:rsid w:val="007900C0"/>
    <w:rsid w:val="00791DD7"/>
    <w:rsid w:val="00791E47"/>
    <w:rsid w:val="0079284B"/>
    <w:rsid w:val="00792BED"/>
    <w:rsid w:val="00793185"/>
    <w:rsid w:val="00793C52"/>
    <w:rsid w:val="007940F6"/>
    <w:rsid w:val="0079468A"/>
    <w:rsid w:val="00794B7C"/>
    <w:rsid w:val="00795391"/>
    <w:rsid w:val="007958A2"/>
    <w:rsid w:val="00795C3A"/>
    <w:rsid w:val="00797F70"/>
    <w:rsid w:val="007A23AA"/>
    <w:rsid w:val="007A252D"/>
    <w:rsid w:val="007A62CB"/>
    <w:rsid w:val="007A703F"/>
    <w:rsid w:val="007A7A85"/>
    <w:rsid w:val="007B0C66"/>
    <w:rsid w:val="007B0F5A"/>
    <w:rsid w:val="007B0F7A"/>
    <w:rsid w:val="007B3504"/>
    <w:rsid w:val="007B4451"/>
    <w:rsid w:val="007B5EBD"/>
    <w:rsid w:val="007C284E"/>
    <w:rsid w:val="007C2C70"/>
    <w:rsid w:val="007C2D29"/>
    <w:rsid w:val="007C2E9F"/>
    <w:rsid w:val="007C5E3C"/>
    <w:rsid w:val="007C6047"/>
    <w:rsid w:val="007C6CE3"/>
    <w:rsid w:val="007C7C28"/>
    <w:rsid w:val="007D0965"/>
    <w:rsid w:val="007D149E"/>
    <w:rsid w:val="007D21E1"/>
    <w:rsid w:val="007D27B0"/>
    <w:rsid w:val="007D28FA"/>
    <w:rsid w:val="007D30C4"/>
    <w:rsid w:val="007D3B33"/>
    <w:rsid w:val="007D3F61"/>
    <w:rsid w:val="007D3F75"/>
    <w:rsid w:val="007D4A16"/>
    <w:rsid w:val="007D4A84"/>
    <w:rsid w:val="007D53A8"/>
    <w:rsid w:val="007D570F"/>
    <w:rsid w:val="007D59CB"/>
    <w:rsid w:val="007D6F3F"/>
    <w:rsid w:val="007D7203"/>
    <w:rsid w:val="007D7EBA"/>
    <w:rsid w:val="007E0423"/>
    <w:rsid w:val="007E052F"/>
    <w:rsid w:val="007E208D"/>
    <w:rsid w:val="007E2E74"/>
    <w:rsid w:val="007E34C0"/>
    <w:rsid w:val="007E4F21"/>
    <w:rsid w:val="007E64B7"/>
    <w:rsid w:val="007E7CB5"/>
    <w:rsid w:val="007F1CED"/>
    <w:rsid w:val="007F26F7"/>
    <w:rsid w:val="007F27A4"/>
    <w:rsid w:val="007F3206"/>
    <w:rsid w:val="007F4D72"/>
    <w:rsid w:val="007F5AB6"/>
    <w:rsid w:val="007F6162"/>
    <w:rsid w:val="007F6F54"/>
    <w:rsid w:val="007F6FE1"/>
    <w:rsid w:val="007F7AE3"/>
    <w:rsid w:val="00800635"/>
    <w:rsid w:val="008008BD"/>
    <w:rsid w:val="00800AE8"/>
    <w:rsid w:val="00801BDF"/>
    <w:rsid w:val="008030CE"/>
    <w:rsid w:val="0080411B"/>
    <w:rsid w:val="008045F5"/>
    <w:rsid w:val="0080589D"/>
    <w:rsid w:val="008059B8"/>
    <w:rsid w:val="00806A53"/>
    <w:rsid w:val="00810F07"/>
    <w:rsid w:val="008119B4"/>
    <w:rsid w:val="00812ECB"/>
    <w:rsid w:val="0081348C"/>
    <w:rsid w:val="0081379A"/>
    <w:rsid w:val="008148D5"/>
    <w:rsid w:val="00816515"/>
    <w:rsid w:val="008172F5"/>
    <w:rsid w:val="008209F4"/>
    <w:rsid w:val="00821E76"/>
    <w:rsid w:val="00823C58"/>
    <w:rsid w:val="008241A8"/>
    <w:rsid w:val="00824358"/>
    <w:rsid w:val="00824F49"/>
    <w:rsid w:val="0082667F"/>
    <w:rsid w:val="00826AFD"/>
    <w:rsid w:val="008271E3"/>
    <w:rsid w:val="008303D1"/>
    <w:rsid w:val="00831209"/>
    <w:rsid w:val="00831958"/>
    <w:rsid w:val="00831CD6"/>
    <w:rsid w:val="00832A38"/>
    <w:rsid w:val="008331DE"/>
    <w:rsid w:val="008340F2"/>
    <w:rsid w:val="00835C8F"/>
    <w:rsid w:val="00837D8E"/>
    <w:rsid w:val="00840415"/>
    <w:rsid w:val="008411DB"/>
    <w:rsid w:val="0084128F"/>
    <w:rsid w:val="00841DCB"/>
    <w:rsid w:val="00842984"/>
    <w:rsid w:val="0084466D"/>
    <w:rsid w:val="008465A9"/>
    <w:rsid w:val="00847E81"/>
    <w:rsid w:val="0085023E"/>
    <w:rsid w:val="00850723"/>
    <w:rsid w:val="00850DFC"/>
    <w:rsid w:val="008537F1"/>
    <w:rsid w:val="00853886"/>
    <w:rsid w:val="0085570C"/>
    <w:rsid w:val="00855CDF"/>
    <w:rsid w:val="008560A0"/>
    <w:rsid w:val="00856A1C"/>
    <w:rsid w:val="0086043E"/>
    <w:rsid w:val="00860B5C"/>
    <w:rsid w:val="00862D61"/>
    <w:rsid w:val="008641DD"/>
    <w:rsid w:val="008656A3"/>
    <w:rsid w:val="0086620D"/>
    <w:rsid w:val="0086686F"/>
    <w:rsid w:val="008668E6"/>
    <w:rsid w:val="00866938"/>
    <w:rsid w:val="0086695B"/>
    <w:rsid w:val="00870C03"/>
    <w:rsid w:val="00871976"/>
    <w:rsid w:val="00872B4E"/>
    <w:rsid w:val="00872ECF"/>
    <w:rsid w:val="008741DF"/>
    <w:rsid w:val="00874822"/>
    <w:rsid w:val="00874BCA"/>
    <w:rsid w:val="00875083"/>
    <w:rsid w:val="008750EA"/>
    <w:rsid w:val="00875236"/>
    <w:rsid w:val="008755D6"/>
    <w:rsid w:val="00876214"/>
    <w:rsid w:val="00880F2F"/>
    <w:rsid w:val="0088156D"/>
    <w:rsid w:val="0088196C"/>
    <w:rsid w:val="00881A31"/>
    <w:rsid w:val="00882752"/>
    <w:rsid w:val="0088382C"/>
    <w:rsid w:val="00883EB0"/>
    <w:rsid w:val="00884018"/>
    <w:rsid w:val="00884CE7"/>
    <w:rsid w:val="00887579"/>
    <w:rsid w:val="00887A1A"/>
    <w:rsid w:val="00890299"/>
    <w:rsid w:val="00891014"/>
    <w:rsid w:val="008910FD"/>
    <w:rsid w:val="00891151"/>
    <w:rsid w:val="00891A20"/>
    <w:rsid w:val="00893FF2"/>
    <w:rsid w:val="00894886"/>
    <w:rsid w:val="00894DA9"/>
    <w:rsid w:val="00897367"/>
    <w:rsid w:val="008973BA"/>
    <w:rsid w:val="008977C6"/>
    <w:rsid w:val="008A11AB"/>
    <w:rsid w:val="008A3461"/>
    <w:rsid w:val="008A42DF"/>
    <w:rsid w:val="008A51AC"/>
    <w:rsid w:val="008A5203"/>
    <w:rsid w:val="008A5807"/>
    <w:rsid w:val="008A6C82"/>
    <w:rsid w:val="008A7291"/>
    <w:rsid w:val="008A7A02"/>
    <w:rsid w:val="008B14DE"/>
    <w:rsid w:val="008B381C"/>
    <w:rsid w:val="008B5661"/>
    <w:rsid w:val="008B7727"/>
    <w:rsid w:val="008C033D"/>
    <w:rsid w:val="008C07EF"/>
    <w:rsid w:val="008C1CB9"/>
    <w:rsid w:val="008C2378"/>
    <w:rsid w:val="008C416F"/>
    <w:rsid w:val="008C662C"/>
    <w:rsid w:val="008C6B50"/>
    <w:rsid w:val="008D0E34"/>
    <w:rsid w:val="008D12D0"/>
    <w:rsid w:val="008D166B"/>
    <w:rsid w:val="008D18B9"/>
    <w:rsid w:val="008D3310"/>
    <w:rsid w:val="008D45C6"/>
    <w:rsid w:val="008D4AC1"/>
    <w:rsid w:val="008D5530"/>
    <w:rsid w:val="008D63D8"/>
    <w:rsid w:val="008D6EB1"/>
    <w:rsid w:val="008D7749"/>
    <w:rsid w:val="008D7B7A"/>
    <w:rsid w:val="008E017C"/>
    <w:rsid w:val="008E0552"/>
    <w:rsid w:val="008E212D"/>
    <w:rsid w:val="008E2981"/>
    <w:rsid w:val="008E31F0"/>
    <w:rsid w:val="008E4355"/>
    <w:rsid w:val="008E4507"/>
    <w:rsid w:val="008E4905"/>
    <w:rsid w:val="008E4EF7"/>
    <w:rsid w:val="008E683D"/>
    <w:rsid w:val="008E790C"/>
    <w:rsid w:val="008F1F5B"/>
    <w:rsid w:val="008F2E83"/>
    <w:rsid w:val="008F31A6"/>
    <w:rsid w:val="008F350D"/>
    <w:rsid w:val="008F3622"/>
    <w:rsid w:val="008F4B89"/>
    <w:rsid w:val="008F4F33"/>
    <w:rsid w:val="008F52E6"/>
    <w:rsid w:val="008F57F4"/>
    <w:rsid w:val="008F5ADC"/>
    <w:rsid w:val="009014FD"/>
    <w:rsid w:val="00902F1C"/>
    <w:rsid w:val="00902F26"/>
    <w:rsid w:val="00906516"/>
    <w:rsid w:val="00907A8B"/>
    <w:rsid w:val="00910512"/>
    <w:rsid w:val="009108EB"/>
    <w:rsid w:val="00910A5A"/>
    <w:rsid w:val="00912A78"/>
    <w:rsid w:val="00912C22"/>
    <w:rsid w:val="00912F4C"/>
    <w:rsid w:val="00913E55"/>
    <w:rsid w:val="0091400A"/>
    <w:rsid w:val="00914545"/>
    <w:rsid w:val="009149B4"/>
    <w:rsid w:val="009152F5"/>
    <w:rsid w:val="009163A4"/>
    <w:rsid w:val="00916A3B"/>
    <w:rsid w:val="009177BE"/>
    <w:rsid w:val="00917BEE"/>
    <w:rsid w:val="00917C61"/>
    <w:rsid w:val="00917FAB"/>
    <w:rsid w:val="00920350"/>
    <w:rsid w:val="00920C53"/>
    <w:rsid w:val="0092283D"/>
    <w:rsid w:val="00924CA9"/>
    <w:rsid w:val="00925924"/>
    <w:rsid w:val="00926179"/>
    <w:rsid w:val="0092672C"/>
    <w:rsid w:val="00933AFE"/>
    <w:rsid w:val="0093574A"/>
    <w:rsid w:val="009360F5"/>
    <w:rsid w:val="00936516"/>
    <w:rsid w:val="00937BAB"/>
    <w:rsid w:val="00943B64"/>
    <w:rsid w:val="0094432D"/>
    <w:rsid w:val="009448B3"/>
    <w:rsid w:val="0094548C"/>
    <w:rsid w:val="00945AA2"/>
    <w:rsid w:val="00945EE3"/>
    <w:rsid w:val="00945F85"/>
    <w:rsid w:val="009463F2"/>
    <w:rsid w:val="0095451E"/>
    <w:rsid w:val="00956180"/>
    <w:rsid w:val="009561AF"/>
    <w:rsid w:val="00956F42"/>
    <w:rsid w:val="00960928"/>
    <w:rsid w:val="00960DDB"/>
    <w:rsid w:val="0096171F"/>
    <w:rsid w:val="00961B98"/>
    <w:rsid w:val="0096263B"/>
    <w:rsid w:val="00963466"/>
    <w:rsid w:val="00964077"/>
    <w:rsid w:val="009653A3"/>
    <w:rsid w:val="00965F90"/>
    <w:rsid w:val="0096700E"/>
    <w:rsid w:val="00967FED"/>
    <w:rsid w:val="00972113"/>
    <w:rsid w:val="00972400"/>
    <w:rsid w:val="00972729"/>
    <w:rsid w:val="009728B9"/>
    <w:rsid w:val="00972C53"/>
    <w:rsid w:val="00973420"/>
    <w:rsid w:val="00975122"/>
    <w:rsid w:val="0097526C"/>
    <w:rsid w:val="0097527D"/>
    <w:rsid w:val="0097601E"/>
    <w:rsid w:val="0097698A"/>
    <w:rsid w:val="009769A1"/>
    <w:rsid w:val="0097711E"/>
    <w:rsid w:val="009776F8"/>
    <w:rsid w:val="009804E5"/>
    <w:rsid w:val="0098056D"/>
    <w:rsid w:val="009805E7"/>
    <w:rsid w:val="0098101A"/>
    <w:rsid w:val="009831AC"/>
    <w:rsid w:val="009844AC"/>
    <w:rsid w:val="00985DA3"/>
    <w:rsid w:val="00985EBD"/>
    <w:rsid w:val="00986451"/>
    <w:rsid w:val="00986673"/>
    <w:rsid w:val="00986ED5"/>
    <w:rsid w:val="00986F18"/>
    <w:rsid w:val="00987334"/>
    <w:rsid w:val="00987E21"/>
    <w:rsid w:val="00991A1E"/>
    <w:rsid w:val="009940C0"/>
    <w:rsid w:val="009943D7"/>
    <w:rsid w:val="00994E4C"/>
    <w:rsid w:val="00996B86"/>
    <w:rsid w:val="00997FE2"/>
    <w:rsid w:val="009A125D"/>
    <w:rsid w:val="009A14CB"/>
    <w:rsid w:val="009A17A1"/>
    <w:rsid w:val="009A18E7"/>
    <w:rsid w:val="009A2A59"/>
    <w:rsid w:val="009A355F"/>
    <w:rsid w:val="009A3C5F"/>
    <w:rsid w:val="009A604D"/>
    <w:rsid w:val="009A703D"/>
    <w:rsid w:val="009A7232"/>
    <w:rsid w:val="009B1798"/>
    <w:rsid w:val="009B21F9"/>
    <w:rsid w:val="009B360F"/>
    <w:rsid w:val="009B3AC9"/>
    <w:rsid w:val="009B3FF0"/>
    <w:rsid w:val="009B5BF3"/>
    <w:rsid w:val="009B5CCF"/>
    <w:rsid w:val="009B7CE4"/>
    <w:rsid w:val="009C0831"/>
    <w:rsid w:val="009C0B98"/>
    <w:rsid w:val="009C0D9C"/>
    <w:rsid w:val="009C1983"/>
    <w:rsid w:val="009C4F17"/>
    <w:rsid w:val="009C63BB"/>
    <w:rsid w:val="009C6BBD"/>
    <w:rsid w:val="009C725D"/>
    <w:rsid w:val="009C7E65"/>
    <w:rsid w:val="009D0515"/>
    <w:rsid w:val="009D168A"/>
    <w:rsid w:val="009D1990"/>
    <w:rsid w:val="009D1D58"/>
    <w:rsid w:val="009D1DD9"/>
    <w:rsid w:val="009D35AD"/>
    <w:rsid w:val="009D3CDD"/>
    <w:rsid w:val="009D4047"/>
    <w:rsid w:val="009D41FD"/>
    <w:rsid w:val="009D45F5"/>
    <w:rsid w:val="009D4685"/>
    <w:rsid w:val="009D4E9F"/>
    <w:rsid w:val="009D73C9"/>
    <w:rsid w:val="009E3935"/>
    <w:rsid w:val="009E40A6"/>
    <w:rsid w:val="009E4169"/>
    <w:rsid w:val="009E41E8"/>
    <w:rsid w:val="009E52BD"/>
    <w:rsid w:val="009E61C7"/>
    <w:rsid w:val="009E6346"/>
    <w:rsid w:val="009E6C0C"/>
    <w:rsid w:val="009E7330"/>
    <w:rsid w:val="009F054B"/>
    <w:rsid w:val="009F1E37"/>
    <w:rsid w:val="009F2489"/>
    <w:rsid w:val="009F57A1"/>
    <w:rsid w:val="009F6351"/>
    <w:rsid w:val="009F745E"/>
    <w:rsid w:val="009F7951"/>
    <w:rsid w:val="009F7DB5"/>
    <w:rsid w:val="00A00627"/>
    <w:rsid w:val="00A01349"/>
    <w:rsid w:val="00A014A7"/>
    <w:rsid w:val="00A03757"/>
    <w:rsid w:val="00A03824"/>
    <w:rsid w:val="00A04EAB"/>
    <w:rsid w:val="00A10FEA"/>
    <w:rsid w:val="00A113C2"/>
    <w:rsid w:val="00A12015"/>
    <w:rsid w:val="00A12456"/>
    <w:rsid w:val="00A134E0"/>
    <w:rsid w:val="00A1353C"/>
    <w:rsid w:val="00A13A1F"/>
    <w:rsid w:val="00A1416D"/>
    <w:rsid w:val="00A15B70"/>
    <w:rsid w:val="00A15BEC"/>
    <w:rsid w:val="00A16ED1"/>
    <w:rsid w:val="00A172D9"/>
    <w:rsid w:val="00A1752A"/>
    <w:rsid w:val="00A17DBF"/>
    <w:rsid w:val="00A20F79"/>
    <w:rsid w:val="00A21403"/>
    <w:rsid w:val="00A2519A"/>
    <w:rsid w:val="00A25523"/>
    <w:rsid w:val="00A25CB1"/>
    <w:rsid w:val="00A270F8"/>
    <w:rsid w:val="00A30AA8"/>
    <w:rsid w:val="00A324DF"/>
    <w:rsid w:val="00A3287B"/>
    <w:rsid w:val="00A33523"/>
    <w:rsid w:val="00A3356D"/>
    <w:rsid w:val="00A40BBD"/>
    <w:rsid w:val="00A41C01"/>
    <w:rsid w:val="00A4233F"/>
    <w:rsid w:val="00A43924"/>
    <w:rsid w:val="00A44EB3"/>
    <w:rsid w:val="00A44F73"/>
    <w:rsid w:val="00A451A1"/>
    <w:rsid w:val="00A46BBE"/>
    <w:rsid w:val="00A47108"/>
    <w:rsid w:val="00A4776A"/>
    <w:rsid w:val="00A47E43"/>
    <w:rsid w:val="00A50A26"/>
    <w:rsid w:val="00A51CB9"/>
    <w:rsid w:val="00A52942"/>
    <w:rsid w:val="00A52953"/>
    <w:rsid w:val="00A52DE6"/>
    <w:rsid w:val="00A53D4D"/>
    <w:rsid w:val="00A545A8"/>
    <w:rsid w:val="00A55197"/>
    <w:rsid w:val="00A5526E"/>
    <w:rsid w:val="00A56863"/>
    <w:rsid w:val="00A64050"/>
    <w:rsid w:val="00A640CD"/>
    <w:rsid w:val="00A64C28"/>
    <w:rsid w:val="00A64C99"/>
    <w:rsid w:val="00A65D5D"/>
    <w:rsid w:val="00A70016"/>
    <w:rsid w:val="00A70342"/>
    <w:rsid w:val="00A703F8"/>
    <w:rsid w:val="00A70C6C"/>
    <w:rsid w:val="00A70CBC"/>
    <w:rsid w:val="00A71AE7"/>
    <w:rsid w:val="00A72926"/>
    <w:rsid w:val="00A755B3"/>
    <w:rsid w:val="00A757CC"/>
    <w:rsid w:val="00A769B2"/>
    <w:rsid w:val="00A775FD"/>
    <w:rsid w:val="00A77889"/>
    <w:rsid w:val="00A77989"/>
    <w:rsid w:val="00A81BDF"/>
    <w:rsid w:val="00A830D1"/>
    <w:rsid w:val="00A83775"/>
    <w:rsid w:val="00A8454C"/>
    <w:rsid w:val="00A84CA2"/>
    <w:rsid w:val="00A8592E"/>
    <w:rsid w:val="00A870D2"/>
    <w:rsid w:val="00A87744"/>
    <w:rsid w:val="00A87D31"/>
    <w:rsid w:val="00A90AB2"/>
    <w:rsid w:val="00A9180A"/>
    <w:rsid w:val="00A93692"/>
    <w:rsid w:val="00A95507"/>
    <w:rsid w:val="00A958A4"/>
    <w:rsid w:val="00A96FD6"/>
    <w:rsid w:val="00A9760D"/>
    <w:rsid w:val="00A97F36"/>
    <w:rsid w:val="00AA0E12"/>
    <w:rsid w:val="00AA1EA1"/>
    <w:rsid w:val="00AA2798"/>
    <w:rsid w:val="00AA411E"/>
    <w:rsid w:val="00AA4315"/>
    <w:rsid w:val="00AA54CE"/>
    <w:rsid w:val="00AA5580"/>
    <w:rsid w:val="00AA68F4"/>
    <w:rsid w:val="00AA7760"/>
    <w:rsid w:val="00AA7A46"/>
    <w:rsid w:val="00AB06DB"/>
    <w:rsid w:val="00AB37DF"/>
    <w:rsid w:val="00AB46CC"/>
    <w:rsid w:val="00AB4B23"/>
    <w:rsid w:val="00AB6DF8"/>
    <w:rsid w:val="00AB73C7"/>
    <w:rsid w:val="00AC0E5B"/>
    <w:rsid w:val="00AC16A6"/>
    <w:rsid w:val="00AC4811"/>
    <w:rsid w:val="00AC4973"/>
    <w:rsid w:val="00AC583D"/>
    <w:rsid w:val="00AC5EA0"/>
    <w:rsid w:val="00AD0094"/>
    <w:rsid w:val="00AD19DB"/>
    <w:rsid w:val="00AD280F"/>
    <w:rsid w:val="00AD2C65"/>
    <w:rsid w:val="00AD387A"/>
    <w:rsid w:val="00AD3ECE"/>
    <w:rsid w:val="00AD6270"/>
    <w:rsid w:val="00AD6BEC"/>
    <w:rsid w:val="00AD723E"/>
    <w:rsid w:val="00AD7EC2"/>
    <w:rsid w:val="00AE07DB"/>
    <w:rsid w:val="00AE0A57"/>
    <w:rsid w:val="00AE0E64"/>
    <w:rsid w:val="00AE3547"/>
    <w:rsid w:val="00AE388A"/>
    <w:rsid w:val="00AE3BDD"/>
    <w:rsid w:val="00AE45EB"/>
    <w:rsid w:val="00AE4743"/>
    <w:rsid w:val="00AE564C"/>
    <w:rsid w:val="00AE7977"/>
    <w:rsid w:val="00AF09AD"/>
    <w:rsid w:val="00AF268B"/>
    <w:rsid w:val="00AF2E35"/>
    <w:rsid w:val="00AF425D"/>
    <w:rsid w:val="00AF4933"/>
    <w:rsid w:val="00AF4EB3"/>
    <w:rsid w:val="00AF5976"/>
    <w:rsid w:val="00AF5B99"/>
    <w:rsid w:val="00AF61AB"/>
    <w:rsid w:val="00AF63CB"/>
    <w:rsid w:val="00AF660B"/>
    <w:rsid w:val="00AF6899"/>
    <w:rsid w:val="00AF6A60"/>
    <w:rsid w:val="00AF72F3"/>
    <w:rsid w:val="00AF735C"/>
    <w:rsid w:val="00B0035A"/>
    <w:rsid w:val="00B00CEC"/>
    <w:rsid w:val="00B01BAC"/>
    <w:rsid w:val="00B01FD2"/>
    <w:rsid w:val="00B022A8"/>
    <w:rsid w:val="00B03EAB"/>
    <w:rsid w:val="00B04582"/>
    <w:rsid w:val="00B0485C"/>
    <w:rsid w:val="00B064D6"/>
    <w:rsid w:val="00B073A6"/>
    <w:rsid w:val="00B07543"/>
    <w:rsid w:val="00B12F8B"/>
    <w:rsid w:val="00B134B0"/>
    <w:rsid w:val="00B137FC"/>
    <w:rsid w:val="00B14908"/>
    <w:rsid w:val="00B16181"/>
    <w:rsid w:val="00B17561"/>
    <w:rsid w:val="00B17F44"/>
    <w:rsid w:val="00B201EC"/>
    <w:rsid w:val="00B209E7"/>
    <w:rsid w:val="00B210DF"/>
    <w:rsid w:val="00B21CA5"/>
    <w:rsid w:val="00B22611"/>
    <w:rsid w:val="00B23115"/>
    <w:rsid w:val="00B24959"/>
    <w:rsid w:val="00B24C23"/>
    <w:rsid w:val="00B24E5F"/>
    <w:rsid w:val="00B25389"/>
    <w:rsid w:val="00B25423"/>
    <w:rsid w:val="00B30234"/>
    <w:rsid w:val="00B306AE"/>
    <w:rsid w:val="00B313FC"/>
    <w:rsid w:val="00B31464"/>
    <w:rsid w:val="00B31B94"/>
    <w:rsid w:val="00B32E79"/>
    <w:rsid w:val="00B333A3"/>
    <w:rsid w:val="00B334C8"/>
    <w:rsid w:val="00B34033"/>
    <w:rsid w:val="00B34B41"/>
    <w:rsid w:val="00B34B5E"/>
    <w:rsid w:val="00B35081"/>
    <w:rsid w:val="00B37269"/>
    <w:rsid w:val="00B4164E"/>
    <w:rsid w:val="00B41C7F"/>
    <w:rsid w:val="00B42691"/>
    <w:rsid w:val="00B4546A"/>
    <w:rsid w:val="00B464F4"/>
    <w:rsid w:val="00B47DDB"/>
    <w:rsid w:val="00B47EA9"/>
    <w:rsid w:val="00B507E3"/>
    <w:rsid w:val="00B5098B"/>
    <w:rsid w:val="00B50D96"/>
    <w:rsid w:val="00B52605"/>
    <w:rsid w:val="00B52B89"/>
    <w:rsid w:val="00B53EF8"/>
    <w:rsid w:val="00B53FD0"/>
    <w:rsid w:val="00B56B5A"/>
    <w:rsid w:val="00B57687"/>
    <w:rsid w:val="00B60E28"/>
    <w:rsid w:val="00B610A6"/>
    <w:rsid w:val="00B61B6A"/>
    <w:rsid w:val="00B61D02"/>
    <w:rsid w:val="00B61F9C"/>
    <w:rsid w:val="00B631CD"/>
    <w:rsid w:val="00B65D48"/>
    <w:rsid w:val="00B6605A"/>
    <w:rsid w:val="00B66678"/>
    <w:rsid w:val="00B67154"/>
    <w:rsid w:val="00B67AC2"/>
    <w:rsid w:val="00B67EF2"/>
    <w:rsid w:val="00B70389"/>
    <w:rsid w:val="00B716BD"/>
    <w:rsid w:val="00B72343"/>
    <w:rsid w:val="00B72514"/>
    <w:rsid w:val="00B737AE"/>
    <w:rsid w:val="00B745B9"/>
    <w:rsid w:val="00B75468"/>
    <w:rsid w:val="00B75759"/>
    <w:rsid w:val="00B7595D"/>
    <w:rsid w:val="00B772C6"/>
    <w:rsid w:val="00B773DD"/>
    <w:rsid w:val="00B77502"/>
    <w:rsid w:val="00B778B9"/>
    <w:rsid w:val="00B82909"/>
    <w:rsid w:val="00B83621"/>
    <w:rsid w:val="00B84465"/>
    <w:rsid w:val="00B8493F"/>
    <w:rsid w:val="00B849CB"/>
    <w:rsid w:val="00B8603E"/>
    <w:rsid w:val="00B86AF6"/>
    <w:rsid w:val="00B87764"/>
    <w:rsid w:val="00B87FCC"/>
    <w:rsid w:val="00B90E08"/>
    <w:rsid w:val="00B92597"/>
    <w:rsid w:val="00B938F0"/>
    <w:rsid w:val="00B93EDE"/>
    <w:rsid w:val="00B94664"/>
    <w:rsid w:val="00B94753"/>
    <w:rsid w:val="00B9476A"/>
    <w:rsid w:val="00B94BB4"/>
    <w:rsid w:val="00B950E8"/>
    <w:rsid w:val="00B96011"/>
    <w:rsid w:val="00B969AD"/>
    <w:rsid w:val="00B9748A"/>
    <w:rsid w:val="00BA005C"/>
    <w:rsid w:val="00BA1497"/>
    <w:rsid w:val="00BA1E84"/>
    <w:rsid w:val="00BA3753"/>
    <w:rsid w:val="00BA3DCE"/>
    <w:rsid w:val="00BA51C5"/>
    <w:rsid w:val="00BA6277"/>
    <w:rsid w:val="00BA770D"/>
    <w:rsid w:val="00BA7B91"/>
    <w:rsid w:val="00BA7D46"/>
    <w:rsid w:val="00BB0694"/>
    <w:rsid w:val="00BB3C23"/>
    <w:rsid w:val="00BB4EC8"/>
    <w:rsid w:val="00BB5374"/>
    <w:rsid w:val="00BC1334"/>
    <w:rsid w:val="00BC1C60"/>
    <w:rsid w:val="00BC21F2"/>
    <w:rsid w:val="00BC3681"/>
    <w:rsid w:val="00BC474A"/>
    <w:rsid w:val="00BC4BCF"/>
    <w:rsid w:val="00BC4FFF"/>
    <w:rsid w:val="00BC57C9"/>
    <w:rsid w:val="00BC631B"/>
    <w:rsid w:val="00BC63B5"/>
    <w:rsid w:val="00BD0448"/>
    <w:rsid w:val="00BD05B9"/>
    <w:rsid w:val="00BD0D2A"/>
    <w:rsid w:val="00BD1069"/>
    <w:rsid w:val="00BD11AE"/>
    <w:rsid w:val="00BD1298"/>
    <w:rsid w:val="00BD1B4B"/>
    <w:rsid w:val="00BD2046"/>
    <w:rsid w:val="00BD4B3F"/>
    <w:rsid w:val="00BD5C77"/>
    <w:rsid w:val="00BD6893"/>
    <w:rsid w:val="00BD7602"/>
    <w:rsid w:val="00BD7E0C"/>
    <w:rsid w:val="00BE0A11"/>
    <w:rsid w:val="00BE0B83"/>
    <w:rsid w:val="00BE23BF"/>
    <w:rsid w:val="00BE5AE8"/>
    <w:rsid w:val="00BE6A5A"/>
    <w:rsid w:val="00BE7CB5"/>
    <w:rsid w:val="00BF007D"/>
    <w:rsid w:val="00BF0AF7"/>
    <w:rsid w:val="00BF2740"/>
    <w:rsid w:val="00BF27AF"/>
    <w:rsid w:val="00BF338B"/>
    <w:rsid w:val="00BF3926"/>
    <w:rsid w:val="00BF562F"/>
    <w:rsid w:val="00BF6011"/>
    <w:rsid w:val="00BF7155"/>
    <w:rsid w:val="00BF7800"/>
    <w:rsid w:val="00C001E4"/>
    <w:rsid w:val="00C027B2"/>
    <w:rsid w:val="00C02FD5"/>
    <w:rsid w:val="00C0352D"/>
    <w:rsid w:val="00C04C54"/>
    <w:rsid w:val="00C06AF9"/>
    <w:rsid w:val="00C105F0"/>
    <w:rsid w:val="00C10B52"/>
    <w:rsid w:val="00C162CB"/>
    <w:rsid w:val="00C16E64"/>
    <w:rsid w:val="00C177E8"/>
    <w:rsid w:val="00C20130"/>
    <w:rsid w:val="00C202E9"/>
    <w:rsid w:val="00C20776"/>
    <w:rsid w:val="00C21ADA"/>
    <w:rsid w:val="00C21ADC"/>
    <w:rsid w:val="00C22079"/>
    <w:rsid w:val="00C22A25"/>
    <w:rsid w:val="00C25460"/>
    <w:rsid w:val="00C25F94"/>
    <w:rsid w:val="00C30BFD"/>
    <w:rsid w:val="00C30D77"/>
    <w:rsid w:val="00C3122A"/>
    <w:rsid w:val="00C33039"/>
    <w:rsid w:val="00C3308E"/>
    <w:rsid w:val="00C350D9"/>
    <w:rsid w:val="00C366EA"/>
    <w:rsid w:val="00C368C1"/>
    <w:rsid w:val="00C41831"/>
    <w:rsid w:val="00C419A1"/>
    <w:rsid w:val="00C42512"/>
    <w:rsid w:val="00C42CEE"/>
    <w:rsid w:val="00C43E29"/>
    <w:rsid w:val="00C45838"/>
    <w:rsid w:val="00C46F3C"/>
    <w:rsid w:val="00C47133"/>
    <w:rsid w:val="00C47716"/>
    <w:rsid w:val="00C51CC8"/>
    <w:rsid w:val="00C53C33"/>
    <w:rsid w:val="00C54CB2"/>
    <w:rsid w:val="00C55314"/>
    <w:rsid w:val="00C56C5A"/>
    <w:rsid w:val="00C57069"/>
    <w:rsid w:val="00C607E1"/>
    <w:rsid w:val="00C609AC"/>
    <w:rsid w:val="00C613B9"/>
    <w:rsid w:val="00C61C8B"/>
    <w:rsid w:val="00C62775"/>
    <w:rsid w:val="00C6334B"/>
    <w:rsid w:val="00C6374D"/>
    <w:rsid w:val="00C63C6B"/>
    <w:rsid w:val="00C6548E"/>
    <w:rsid w:val="00C6550B"/>
    <w:rsid w:val="00C6579E"/>
    <w:rsid w:val="00C65B57"/>
    <w:rsid w:val="00C663E3"/>
    <w:rsid w:val="00C67B99"/>
    <w:rsid w:val="00C705E0"/>
    <w:rsid w:val="00C71470"/>
    <w:rsid w:val="00C7220E"/>
    <w:rsid w:val="00C723F6"/>
    <w:rsid w:val="00C72575"/>
    <w:rsid w:val="00C72629"/>
    <w:rsid w:val="00C729DD"/>
    <w:rsid w:val="00C73786"/>
    <w:rsid w:val="00C74241"/>
    <w:rsid w:val="00C7426C"/>
    <w:rsid w:val="00C74394"/>
    <w:rsid w:val="00C74A8B"/>
    <w:rsid w:val="00C74FD1"/>
    <w:rsid w:val="00C751E5"/>
    <w:rsid w:val="00C77003"/>
    <w:rsid w:val="00C77D88"/>
    <w:rsid w:val="00C80129"/>
    <w:rsid w:val="00C80C94"/>
    <w:rsid w:val="00C80E22"/>
    <w:rsid w:val="00C8126D"/>
    <w:rsid w:val="00C81653"/>
    <w:rsid w:val="00C825D2"/>
    <w:rsid w:val="00C82C62"/>
    <w:rsid w:val="00C8355B"/>
    <w:rsid w:val="00C835C7"/>
    <w:rsid w:val="00C83944"/>
    <w:rsid w:val="00C839FF"/>
    <w:rsid w:val="00C840A5"/>
    <w:rsid w:val="00C84E96"/>
    <w:rsid w:val="00C850DB"/>
    <w:rsid w:val="00C851B6"/>
    <w:rsid w:val="00C870D2"/>
    <w:rsid w:val="00C874FB"/>
    <w:rsid w:val="00C90D65"/>
    <w:rsid w:val="00C91A1C"/>
    <w:rsid w:val="00C93613"/>
    <w:rsid w:val="00C94F63"/>
    <w:rsid w:val="00C95F4A"/>
    <w:rsid w:val="00CA01B9"/>
    <w:rsid w:val="00CA1187"/>
    <w:rsid w:val="00CA1206"/>
    <w:rsid w:val="00CA3487"/>
    <w:rsid w:val="00CA6393"/>
    <w:rsid w:val="00CA7523"/>
    <w:rsid w:val="00CA7818"/>
    <w:rsid w:val="00CB22B0"/>
    <w:rsid w:val="00CB3AC1"/>
    <w:rsid w:val="00CB41DC"/>
    <w:rsid w:val="00CB443D"/>
    <w:rsid w:val="00CB44CC"/>
    <w:rsid w:val="00CB50D1"/>
    <w:rsid w:val="00CB53AA"/>
    <w:rsid w:val="00CC16D8"/>
    <w:rsid w:val="00CC1D01"/>
    <w:rsid w:val="00CC2DBC"/>
    <w:rsid w:val="00CC3221"/>
    <w:rsid w:val="00CC3249"/>
    <w:rsid w:val="00CC38BE"/>
    <w:rsid w:val="00CC45FD"/>
    <w:rsid w:val="00CC4B4F"/>
    <w:rsid w:val="00CC4EDB"/>
    <w:rsid w:val="00CC5181"/>
    <w:rsid w:val="00CC5381"/>
    <w:rsid w:val="00CC6099"/>
    <w:rsid w:val="00CC7CC9"/>
    <w:rsid w:val="00CD01E0"/>
    <w:rsid w:val="00CD196A"/>
    <w:rsid w:val="00CD2652"/>
    <w:rsid w:val="00CD2952"/>
    <w:rsid w:val="00CD3136"/>
    <w:rsid w:val="00CD401C"/>
    <w:rsid w:val="00CD480B"/>
    <w:rsid w:val="00CD5280"/>
    <w:rsid w:val="00CD6C05"/>
    <w:rsid w:val="00CD7C74"/>
    <w:rsid w:val="00CE1F1A"/>
    <w:rsid w:val="00CE3D45"/>
    <w:rsid w:val="00CE4865"/>
    <w:rsid w:val="00CE4D13"/>
    <w:rsid w:val="00CE53C5"/>
    <w:rsid w:val="00CE728F"/>
    <w:rsid w:val="00CE7999"/>
    <w:rsid w:val="00CF0827"/>
    <w:rsid w:val="00CF21D0"/>
    <w:rsid w:val="00CF37B7"/>
    <w:rsid w:val="00CF4C65"/>
    <w:rsid w:val="00CF4E79"/>
    <w:rsid w:val="00CF4FE7"/>
    <w:rsid w:val="00CF5965"/>
    <w:rsid w:val="00CF5987"/>
    <w:rsid w:val="00CF6A1C"/>
    <w:rsid w:val="00CF7E45"/>
    <w:rsid w:val="00D02EFC"/>
    <w:rsid w:val="00D040B2"/>
    <w:rsid w:val="00D04473"/>
    <w:rsid w:val="00D047D5"/>
    <w:rsid w:val="00D0686E"/>
    <w:rsid w:val="00D10FA3"/>
    <w:rsid w:val="00D124CE"/>
    <w:rsid w:val="00D13FA7"/>
    <w:rsid w:val="00D14CFC"/>
    <w:rsid w:val="00D2155B"/>
    <w:rsid w:val="00D215DD"/>
    <w:rsid w:val="00D217CC"/>
    <w:rsid w:val="00D218E3"/>
    <w:rsid w:val="00D21BD7"/>
    <w:rsid w:val="00D240C2"/>
    <w:rsid w:val="00D24F13"/>
    <w:rsid w:val="00D25D2C"/>
    <w:rsid w:val="00D265C4"/>
    <w:rsid w:val="00D30CBE"/>
    <w:rsid w:val="00D31D5D"/>
    <w:rsid w:val="00D31DC1"/>
    <w:rsid w:val="00D320C6"/>
    <w:rsid w:val="00D322ED"/>
    <w:rsid w:val="00D33C8E"/>
    <w:rsid w:val="00D33F33"/>
    <w:rsid w:val="00D3450C"/>
    <w:rsid w:val="00D3543F"/>
    <w:rsid w:val="00D36212"/>
    <w:rsid w:val="00D3636F"/>
    <w:rsid w:val="00D369FD"/>
    <w:rsid w:val="00D4146B"/>
    <w:rsid w:val="00D419FB"/>
    <w:rsid w:val="00D42079"/>
    <w:rsid w:val="00D42C55"/>
    <w:rsid w:val="00D441A9"/>
    <w:rsid w:val="00D44699"/>
    <w:rsid w:val="00D448C0"/>
    <w:rsid w:val="00D44A2E"/>
    <w:rsid w:val="00D44CB2"/>
    <w:rsid w:val="00D46C4A"/>
    <w:rsid w:val="00D46CBB"/>
    <w:rsid w:val="00D4750A"/>
    <w:rsid w:val="00D475D6"/>
    <w:rsid w:val="00D477FD"/>
    <w:rsid w:val="00D47840"/>
    <w:rsid w:val="00D47F69"/>
    <w:rsid w:val="00D50591"/>
    <w:rsid w:val="00D505BE"/>
    <w:rsid w:val="00D5092F"/>
    <w:rsid w:val="00D527A7"/>
    <w:rsid w:val="00D53E19"/>
    <w:rsid w:val="00D54157"/>
    <w:rsid w:val="00D55132"/>
    <w:rsid w:val="00D560D7"/>
    <w:rsid w:val="00D57C8F"/>
    <w:rsid w:val="00D6119C"/>
    <w:rsid w:val="00D629CA"/>
    <w:rsid w:val="00D637EF"/>
    <w:rsid w:val="00D64518"/>
    <w:rsid w:val="00D70BDA"/>
    <w:rsid w:val="00D71029"/>
    <w:rsid w:val="00D71F4A"/>
    <w:rsid w:val="00D7254A"/>
    <w:rsid w:val="00D7339A"/>
    <w:rsid w:val="00D73F0A"/>
    <w:rsid w:val="00D743F8"/>
    <w:rsid w:val="00D764A5"/>
    <w:rsid w:val="00D76553"/>
    <w:rsid w:val="00D77592"/>
    <w:rsid w:val="00D77BBB"/>
    <w:rsid w:val="00D81D42"/>
    <w:rsid w:val="00D8211E"/>
    <w:rsid w:val="00D82440"/>
    <w:rsid w:val="00D83AC0"/>
    <w:rsid w:val="00D84171"/>
    <w:rsid w:val="00D851BF"/>
    <w:rsid w:val="00D8533F"/>
    <w:rsid w:val="00D85AB7"/>
    <w:rsid w:val="00D85C99"/>
    <w:rsid w:val="00D864C5"/>
    <w:rsid w:val="00D9051E"/>
    <w:rsid w:val="00D90BB0"/>
    <w:rsid w:val="00D9272F"/>
    <w:rsid w:val="00D927D3"/>
    <w:rsid w:val="00D92BF9"/>
    <w:rsid w:val="00D93C3F"/>
    <w:rsid w:val="00D944E0"/>
    <w:rsid w:val="00D94FCE"/>
    <w:rsid w:val="00D959CC"/>
    <w:rsid w:val="00D971C9"/>
    <w:rsid w:val="00D979DB"/>
    <w:rsid w:val="00DA1094"/>
    <w:rsid w:val="00DA2FF3"/>
    <w:rsid w:val="00DA3BD9"/>
    <w:rsid w:val="00DA3EDB"/>
    <w:rsid w:val="00DA513D"/>
    <w:rsid w:val="00DA6286"/>
    <w:rsid w:val="00DA7C21"/>
    <w:rsid w:val="00DA7C9D"/>
    <w:rsid w:val="00DA7D18"/>
    <w:rsid w:val="00DB1083"/>
    <w:rsid w:val="00DB10F3"/>
    <w:rsid w:val="00DB1EFC"/>
    <w:rsid w:val="00DB224C"/>
    <w:rsid w:val="00DB28BA"/>
    <w:rsid w:val="00DB36C4"/>
    <w:rsid w:val="00DB4F10"/>
    <w:rsid w:val="00DB5206"/>
    <w:rsid w:val="00DB7346"/>
    <w:rsid w:val="00DB7EB4"/>
    <w:rsid w:val="00DB7F10"/>
    <w:rsid w:val="00DC08C8"/>
    <w:rsid w:val="00DC0C56"/>
    <w:rsid w:val="00DC239C"/>
    <w:rsid w:val="00DC2F97"/>
    <w:rsid w:val="00DC358B"/>
    <w:rsid w:val="00DC3C5E"/>
    <w:rsid w:val="00DC41B1"/>
    <w:rsid w:val="00DC42E4"/>
    <w:rsid w:val="00DC529E"/>
    <w:rsid w:val="00DC540D"/>
    <w:rsid w:val="00DC616F"/>
    <w:rsid w:val="00DC7562"/>
    <w:rsid w:val="00DD175D"/>
    <w:rsid w:val="00DD2429"/>
    <w:rsid w:val="00DD25D3"/>
    <w:rsid w:val="00DD279F"/>
    <w:rsid w:val="00DD2B13"/>
    <w:rsid w:val="00DD2C9B"/>
    <w:rsid w:val="00DD2F3B"/>
    <w:rsid w:val="00DD3A32"/>
    <w:rsid w:val="00DD42FC"/>
    <w:rsid w:val="00DD5445"/>
    <w:rsid w:val="00DD5986"/>
    <w:rsid w:val="00DD69FA"/>
    <w:rsid w:val="00DD6C9A"/>
    <w:rsid w:val="00DE0CAC"/>
    <w:rsid w:val="00DE47E3"/>
    <w:rsid w:val="00DE4B38"/>
    <w:rsid w:val="00DE6B46"/>
    <w:rsid w:val="00DE7606"/>
    <w:rsid w:val="00DF0311"/>
    <w:rsid w:val="00DF1A74"/>
    <w:rsid w:val="00DF1BB7"/>
    <w:rsid w:val="00DF1C57"/>
    <w:rsid w:val="00DF1F9E"/>
    <w:rsid w:val="00DF2479"/>
    <w:rsid w:val="00DF3662"/>
    <w:rsid w:val="00E01426"/>
    <w:rsid w:val="00E016D3"/>
    <w:rsid w:val="00E0285C"/>
    <w:rsid w:val="00E045E4"/>
    <w:rsid w:val="00E04EC6"/>
    <w:rsid w:val="00E05871"/>
    <w:rsid w:val="00E1155F"/>
    <w:rsid w:val="00E11C46"/>
    <w:rsid w:val="00E13135"/>
    <w:rsid w:val="00E132F6"/>
    <w:rsid w:val="00E14130"/>
    <w:rsid w:val="00E1434F"/>
    <w:rsid w:val="00E1461E"/>
    <w:rsid w:val="00E14B78"/>
    <w:rsid w:val="00E15D66"/>
    <w:rsid w:val="00E166A6"/>
    <w:rsid w:val="00E16849"/>
    <w:rsid w:val="00E16AED"/>
    <w:rsid w:val="00E22030"/>
    <w:rsid w:val="00E23306"/>
    <w:rsid w:val="00E258CB"/>
    <w:rsid w:val="00E26DCE"/>
    <w:rsid w:val="00E27D73"/>
    <w:rsid w:val="00E30BD1"/>
    <w:rsid w:val="00E30E8F"/>
    <w:rsid w:val="00E327FB"/>
    <w:rsid w:val="00E3433E"/>
    <w:rsid w:val="00E356B4"/>
    <w:rsid w:val="00E359A4"/>
    <w:rsid w:val="00E35F68"/>
    <w:rsid w:val="00E364A8"/>
    <w:rsid w:val="00E370C4"/>
    <w:rsid w:val="00E4192E"/>
    <w:rsid w:val="00E41CE4"/>
    <w:rsid w:val="00E427F7"/>
    <w:rsid w:val="00E42FE0"/>
    <w:rsid w:val="00E44A20"/>
    <w:rsid w:val="00E44B66"/>
    <w:rsid w:val="00E50FBA"/>
    <w:rsid w:val="00E516E8"/>
    <w:rsid w:val="00E523A5"/>
    <w:rsid w:val="00E52C89"/>
    <w:rsid w:val="00E5332E"/>
    <w:rsid w:val="00E53550"/>
    <w:rsid w:val="00E544EC"/>
    <w:rsid w:val="00E54B18"/>
    <w:rsid w:val="00E54D3F"/>
    <w:rsid w:val="00E56B84"/>
    <w:rsid w:val="00E600B9"/>
    <w:rsid w:val="00E609B5"/>
    <w:rsid w:val="00E61013"/>
    <w:rsid w:val="00E61AD8"/>
    <w:rsid w:val="00E625E2"/>
    <w:rsid w:val="00E626D1"/>
    <w:rsid w:val="00E64CCB"/>
    <w:rsid w:val="00E66CF5"/>
    <w:rsid w:val="00E66D43"/>
    <w:rsid w:val="00E67742"/>
    <w:rsid w:val="00E67F42"/>
    <w:rsid w:val="00E72626"/>
    <w:rsid w:val="00E738F0"/>
    <w:rsid w:val="00E74526"/>
    <w:rsid w:val="00E747E5"/>
    <w:rsid w:val="00E7539F"/>
    <w:rsid w:val="00E75D43"/>
    <w:rsid w:val="00E778C5"/>
    <w:rsid w:val="00E80852"/>
    <w:rsid w:val="00E8099C"/>
    <w:rsid w:val="00E8104E"/>
    <w:rsid w:val="00E81FAA"/>
    <w:rsid w:val="00E82F43"/>
    <w:rsid w:val="00E83660"/>
    <w:rsid w:val="00E8416D"/>
    <w:rsid w:val="00E8464A"/>
    <w:rsid w:val="00E8492B"/>
    <w:rsid w:val="00E84C5D"/>
    <w:rsid w:val="00E84CB4"/>
    <w:rsid w:val="00E85044"/>
    <w:rsid w:val="00E865EE"/>
    <w:rsid w:val="00E86823"/>
    <w:rsid w:val="00E87213"/>
    <w:rsid w:val="00E87B62"/>
    <w:rsid w:val="00E919F8"/>
    <w:rsid w:val="00E92E92"/>
    <w:rsid w:val="00E92F82"/>
    <w:rsid w:val="00E9303F"/>
    <w:rsid w:val="00E93D64"/>
    <w:rsid w:val="00E94375"/>
    <w:rsid w:val="00E94DFD"/>
    <w:rsid w:val="00E9553D"/>
    <w:rsid w:val="00E96221"/>
    <w:rsid w:val="00E96BCB"/>
    <w:rsid w:val="00E96F32"/>
    <w:rsid w:val="00EA2D4F"/>
    <w:rsid w:val="00EA330E"/>
    <w:rsid w:val="00EA47CF"/>
    <w:rsid w:val="00EA743B"/>
    <w:rsid w:val="00EA7CAC"/>
    <w:rsid w:val="00EB0AE9"/>
    <w:rsid w:val="00EB23FF"/>
    <w:rsid w:val="00EB2800"/>
    <w:rsid w:val="00EB2E46"/>
    <w:rsid w:val="00EB36D3"/>
    <w:rsid w:val="00EB3D4A"/>
    <w:rsid w:val="00EB571F"/>
    <w:rsid w:val="00EB57D8"/>
    <w:rsid w:val="00EB771E"/>
    <w:rsid w:val="00EB784E"/>
    <w:rsid w:val="00EC18C6"/>
    <w:rsid w:val="00EC2CB3"/>
    <w:rsid w:val="00EC58E2"/>
    <w:rsid w:val="00EC6F61"/>
    <w:rsid w:val="00EC7437"/>
    <w:rsid w:val="00EC749E"/>
    <w:rsid w:val="00EC7A46"/>
    <w:rsid w:val="00ED0D2C"/>
    <w:rsid w:val="00ED0E51"/>
    <w:rsid w:val="00ED16EA"/>
    <w:rsid w:val="00ED2CBA"/>
    <w:rsid w:val="00ED2D40"/>
    <w:rsid w:val="00ED3154"/>
    <w:rsid w:val="00ED353E"/>
    <w:rsid w:val="00ED38B1"/>
    <w:rsid w:val="00ED4CFF"/>
    <w:rsid w:val="00ED60C8"/>
    <w:rsid w:val="00ED6539"/>
    <w:rsid w:val="00ED6979"/>
    <w:rsid w:val="00ED7931"/>
    <w:rsid w:val="00ED7B85"/>
    <w:rsid w:val="00EE10C2"/>
    <w:rsid w:val="00EE1E10"/>
    <w:rsid w:val="00EE247D"/>
    <w:rsid w:val="00EE2CAC"/>
    <w:rsid w:val="00EE380C"/>
    <w:rsid w:val="00EE3C45"/>
    <w:rsid w:val="00EE429A"/>
    <w:rsid w:val="00EE4B61"/>
    <w:rsid w:val="00EE51C3"/>
    <w:rsid w:val="00EE5F93"/>
    <w:rsid w:val="00EE72C9"/>
    <w:rsid w:val="00EF0A94"/>
    <w:rsid w:val="00EF0BA5"/>
    <w:rsid w:val="00EF1E04"/>
    <w:rsid w:val="00EF3129"/>
    <w:rsid w:val="00EF3436"/>
    <w:rsid w:val="00EF36A9"/>
    <w:rsid w:val="00EF3BA9"/>
    <w:rsid w:val="00EF4BA5"/>
    <w:rsid w:val="00EF4D11"/>
    <w:rsid w:val="00EF5C0E"/>
    <w:rsid w:val="00EF610A"/>
    <w:rsid w:val="00EF7BFB"/>
    <w:rsid w:val="00F00B5F"/>
    <w:rsid w:val="00F00DBD"/>
    <w:rsid w:val="00F01283"/>
    <w:rsid w:val="00F021EA"/>
    <w:rsid w:val="00F02E7E"/>
    <w:rsid w:val="00F02FFA"/>
    <w:rsid w:val="00F03E76"/>
    <w:rsid w:val="00F03EB9"/>
    <w:rsid w:val="00F04D7F"/>
    <w:rsid w:val="00F068E1"/>
    <w:rsid w:val="00F06A6B"/>
    <w:rsid w:val="00F06AC1"/>
    <w:rsid w:val="00F10D13"/>
    <w:rsid w:val="00F10E1E"/>
    <w:rsid w:val="00F126D5"/>
    <w:rsid w:val="00F13FF3"/>
    <w:rsid w:val="00F14EB2"/>
    <w:rsid w:val="00F15AB3"/>
    <w:rsid w:val="00F16974"/>
    <w:rsid w:val="00F16C5F"/>
    <w:rsid w:val="00F20F9B"/>
    <w:rsid w:val="00F21696"/>
    <w:rsid w:val="00F22E4D"/>
    <w:rsid w:val="00F23402"/>
    <w:rsid w:val="00F234C3"/>
    <w:rsid w:val="00F24D0F"/>
    <w:rsid w:val="00F25BB4"/>
    <w:rsid w:val="00F271EF"/>
    <w:rsid w:val="00F27310"/>
    <w:rsid w:val="00F30A23"/>
    <w:rsid w:val="00F32B56"/>
    <w:rsid w:val="00F330E6"/>
    <w:rsid w:val="00F34485"/>
    <w:rsid w:val="00F35666"/>
    <w:rsid w:val="00F3570F"/>
    <w:rsid w:val="00F36AD5"/>
    <w:rsid w:val="00F42820"/>
    <w:rsid w:val="00F443DD"/>
    <w:rsid w:val="00F44F65"/>
    <w:rsid w:val="00F45918"/>
    <w:rsid w:val="00F4699C"/>
    <w:rsid w:val="00F46D33"/>
    <w:rsid w:val="00F46DF3"/>
    <w:rsid w:val="00F47102"/>
    <w:rsid w:val="00F47E2C"/>
    <w:rsid w:val="00F47F26"/>
    <w:rsid w:val="00F50591"/>
    <w:rsid w:val="00F52F42"/>
    <w:rsid w:val="00F532C8"/>
    <w:rsid w:val="00F55F73"/>
    <w:rsid w:val="00F562C0"/>
    <w:rsid w:val="00F57150"/>
    <w:rsid w:val="00F6012D"/>
    <w:rsid w:val="00F61488"/>
    <w:rsid w:val="00F6204F"/>
    <w:rsid w:val="00F62EE3"/>
    <w:rsid w:val="00F6303F"/>
    <w:rsid w:val="00F634CC"/>
    <w:rsid w:val="00F637EC"/>
    <w:rsid w:val="00F63B0E"/>
    <w:rsid w:val="00F64188"/>
    <w:rsid w:val="00F6432F"/>
    <w:rsid w:val="00F64C41"/>
    <w:rsid w:val="00F65111"/>
    <w:rsid w:val="00F65F7C"/>
    <w:rsid w:val="00F66908"/>
    <w:rsid w:val="00F669E4"/>
    <w:rsid w:val="00F66BEC"/>
    <w:rsid w:val="00F67D4C"/>
    <w:rsid w:val="00F7140E"/>
    <w:rsid w:val="00F71DF4"/>
    <w:rsid w:val="00F721CB"/>
    <w:rsid w:val="00F73348"/>
    <w:rsid w:val="00F7404F"/>
    <w:rsid w:val="00F768AE"/>
    <w:rsid w:val="00F771A8"/>
    <w:rsid w:val="00F771C3"/>
    <w:rsid w:val="00F77D1B"/>
    <w:rsid w:val="00F811D8"/>
    <w:rsid w:val="00F82358"/>
    <w:rsid w:val="00F84F39"/>
    <w:rsid w:val="00F86700"/>
    <w:rsid w:val="00F9082F"/>
    <w:rsid w:val="00F91319"/>
    <w:rsid w:val="00F91AE4"/>
    <w:rsid w:val="00F934CF"/>
    <w:rsid w:val="00F94CE0"/>
    <w:rsid w:val="00F9663B"/>
    <w:rsid w:val="00F96CDC"/>
    <w:rsid w:val="00FA2824"/>
    <w:rsid w:val="00FA2D04"/>
    <w:rsid w:val="00FA3D38"/>
    <w:rsid w:val="00FA48C9"/>
    <w:rsid w:val="00FA4E4C"/>
    <w:rsid w:val="00FA4FFA"/>
    <w:rsid w:val="00FA5855"/>
    <w:rsid w:val="00FA5DFF"/>
    <w:rsid w:val="00FA6E97"/>
    <w:rsid w:val="00FA75F2"/>
    <w:rsid w:val="00FA7AFB"/>
    <w:rsid w:val="00FA7B23"/>
    <w:rsid w:val="00FB0172"/>
    <w:rsid w:val="00FB108A"/>
    <w:rsid w:val="00FB10B4"/>
    <w:rsid w:val="00FB13BE"/>
    <w:rsid w:val="00FB2F61"/>
    <w:rsid w:val="00FB51E2"/>
    <w:rsid w:val="00FB58BE"/>
    <w:rsid w:val="00FB5E6E"/>
    <w:rsid w:val="00FB7266"/>
    <w:rsid w:val="00FB732A"/>
    <w:rsid w:val="00FB7B0F"/>
    <w:rsid w:val="00FC1035"/>
    <w:rsid w:val="00FC1508"/>
    <w:rsid w:val="00FC1BC0"/>
    <w:rsid w:val="00FC1D41"/>
    <w:rsid w:val="00FC483A"/>
    <w:rsid w:val="00FC51A4"/>
    <w:rsid w:val="00FC5416"/>
    <w:rsid w:val="00FC6B42"/>
    <w:rsid w:val="00FC737E"/>
    <w:rsid w:val="00FC7E0B"/>
    <w:rsid w:val="00FD106E"/>
    <w:rsid w:val="00FD22DE"/>
    <w:rsid w:val="00FD3854"/>
    <w:rsid w:val="00FD4165"/>
    <w:rsid w:val="00FD4EBA"/>
    <w:rsid w:val="00FD69EF"/>
    <w:rsid w:val="00FD6A6E"/>
    <w:rsid w:val="00FD6EE3"/>
    <w:rsid w:val="00FE0A12"/>
    <w:rsid w:val="00FE3500"/>
    <w:rsid w:val="00FE3626"/>
    <w:rsid w:val="00FE37C3"/>
    <w:rsid w:val="00FE3BE0"/>
    <w:rsid w:val="00FE3C25"/>
    <w:rsid w:val="00FE48EB"/>
    <w:rsid w:val="00FE5152"/>
    <w:rsid w:val="00FE6382"/>
    <w:rsid w:val="00FE781A"/>
    <w:rsid w:val="00FE7BF3"/>
    <w:rsid w:val="00FF04F6"/>
    <w:rsid w:val="00FF1E64"/>
    <w:rsid w:val="00FF2210"/>
    <w:rsid w:val="00FF253E"/>
    <w:rsid w:val="00FF4418"/>
    <w:rsid w:val="00FF75FA"/>
    <w:rsid w:val="01100185"/>
    <w:rsid w:val="011A71E2"/>
    <w:rsid w:val="01C7241D"/>
    <w:rsid w:val="028873E0"/>
    <w:rsid w:val="02C93F26"/>
    <w:rsid w:val="02EC2346"/>
    <w:rsid w:val="030849F0"/>
    <w:rsid w:val="032C5315"/>
    <w:rsid w:val="033878A7"/>
    <w:rsid w:val="03713557"/>
    <w:rsid w:val="03CE98B9"/>
    <w:rsid w:val="049A4A35"/>
    <w:rsid w:val="04B179E6"/>
    <w:rsid w:val="05DB61B5"/>
    <w:rsid w:val="05F6745E"/>
    <w:rsid w:val="063B0C3A"/>
    <w:rsid w:val="07464EB7"/>
    <w:rsid w:val="075AB0ED"/>
    <w:rsid w:val="07944786"/>
    <w:rsid w:val="0854278F"/>
    <w:rsid w:val="087E5625"/>
    <w:rsid w:val="08CC0A48"/>
    <w:rsid w:val="09782185"/>
    <w:rsid w:val="09AE04DA"/>
    <w:rsid w:val="09B27C25"/>
    <w:rsid w:val="0A05A54F"/>
    <w:rsid w:val="0A6C1FEF"/>
    <w:rsid w:val="0A856ABA"/>
    <w:rsid w:val="0A9D6574"/>
    <w:rsid w:val="0AA37216"/>
    <w:rsid w:val="0AE23112"/>
    <w:rsid w:val="0B0009EF"/>
    <w:rsid w:val="0B7A075E"/>
    <w:rsid w:val="0C1D3440"/>
    <w:rsid w:val="0C474AE5"/>
    <w:rsid w:val="0C98608F"/>
    <w:rsid w:val="0CAB7A82"/>
    <w:rsid w:val="0D0733DC"/>
    <w:rsid w:val="0DF76BC0"/>
    <w:rsid w:val="0EF05B84"/>
    <w:rsid w:val="0F0A0BF8"/>
    <w:rsid w:val="0F1A64F2"/>
    <w:rsid w:val="106B7DFF"/>
    <w:rsid w:val="108857DC"/>
    <w:rsid w:val="10D74A29"/>
    <w:rsid w:val="11050ACA"/>
    <w:rsid w:val="132D5EE0"/>
    <w:rsid w:val="135E2714"/>
    <w:rsid w:val="13A410CA"/>
    <w:rsid w:val="13AE71F7"/>
    <w:rsid w:val="13AF6E8A"/>
    <w:rsid w:val="13CA15EA"/>
    <w:rsid w:val="13CD657A"/>
    <w:rsid w:val="13DE7F44"/>
    <w:rsid w:val="14357918"/>
    <w:rsid w:val="143D67CD"/>
    <w:rsid w:val="15087310"/>
    <w:rsid w:val="15A05804"/>
    <w:rsid w:val="15C473D7"/>
    <w:rsid w:val="15D8610A"/>
    <w:rsid w:val="15E04855"/>
    <w:rsid w:val="16425173"/>
    <w:rsid w:val="164669EA"/>
    <w:rsid w:val="16F15732"/>
    <w:rsid w:val="16F95EF5"/>
    <w:rsid w:val="17BDDCA8"/>
    <w:rsid w:val="17DC5291"/>
    <w:rsid w:val="17EE40D9"/>
    <w:rsid w:val="180D5DE2"/>
    <w:rsid w:val="18120C07"/>
    <w:rsid w:val="18341810"/>
    <w:rsid w:val="18786866"/>
    <w:rsid w:val="19436634"/>
    <w:rsid w:val="1A0646BB"/>
    <w:rsid w:val="1A424E25"/>
    <w:rsid w:val="1AD22C3F"/>
    <w:rsid w:val="1AE14356"/>
    <w:rsid w:val="1AE501A3"/>
    <w:rsid w:val="1B45344E"/>
    <w:rsid w:val="1B8D6C9F"/>
    <w:rsid w:val="1BFB518A"/>
    <w:rsid w:val="1CA473E9"/>
    <w:rsid w:val="1CE51656"/>
    <w:rsid w:val="1D71168E"/>
    <w:rsid w:val="1E8C5396"/>
    <w:rsid w:val="1EB46804"/>
    <w:rsid w:val="1F00169F"/>
    <w:rsid w:val="1F4035C6"/>
    <w:rsid w:val="1F9B36A1"/>
    <w:rsid w:val="201661B5"/>
    <w:rsid w:val="205B0443"/>
    <w:rsid w:val="2091583C"/>
    <w:rsid w:val="209F58B4"/>
    <w:rsid w:val="20C643AF"/>
    <w:rsid w:val="20C7125C"/>
    <w:rsid w:val="210B3C9C"/>
    <w:rsid w:val="215153F5"/>
    <w:rsid w:val="21A26E6B"/>
    <w:rsid w:val="21BA2C77"/>
    <w:rsid w:val="21CC33D6"/>
    <w:rsid w:val="228E0774"/>
    <w:rsid w:val="22C3F665"/>
    <w:rsid w:val="23721341"/>
    <w:rsid w:val="24E16D01"/>
    <w:rsid w:val="25607E4B"/>
    <w:rsid w:val="25CF2B1A"/>
    <w:rsid w:val="264B63AA"/>
    <w:rsid w:val="26654038"/>
    <w:rsid w:val="268E1C4A"/>
    <w:rsid w:val="289D75C5"/>
    <w:rsid w:val="28F92338"/>
    <w:rsid w:val="29764515"/>
    <w:rsid w:val="2A653628"/>
    <w:rsid w:val="2AA82253"/>
    <w:rsid w:val="2ACF5F79"/>
    <w:rsid w:val="2B8212EE"/>
    <w:rsid w:val="2BEC13BC"/>
    <w:rsid w:val="2C30090E"/>
    <w:rsid w:val="2CC157DB"/>
    <w:rsid w:val="2CF056F1"/>
    <w:rsid w:val="2D1D506F"/>
    <w:rsid w:val="2D6F0963"/>
    <w:rsid w:val="2D971DDC"/>
    <w:rsid w:val="2E656EAC"/>
    <w:rsid w:val="2EA6301B"/>
    <w:rsid w:val="2F34284F"/>
    <w:rsid w:val="2F3C0D19"/>
    <w:rsid w:val="2F46288B"/>
    <w:rsid w:val="2F99598C"/>
    <w:rsid w:val="2F9A37FA"/>
    <w:rsid w:val="2FAF62B3"/>
    <w:rsid w:val="2FE10996"/>
    <w:rsid w:val="2FF4129D"/>
    <w:rsid w:val="31075CD7"/>
    <w:rsid w:val="313334CB"/>
    <w:rsid w:val="3170360D"/>
    <w:rsid w:val="31802D89"/>
    <w:rsid w:val="31AF4C9E"/>
    <w:rsid w:val="31BD33DF"/>
    <w:rsid w:val="31D839B7"/>
    <w:rsid w:val="31E83DC4"/>
    <w:rsid w:val="325130F3"/>
    <w:rsid w:val="32966E49"/>
    <w:rsid w:val="32EF777C"/>
    <w:rsid w:val="33050277"/>
    <w:rsid w:val="33490E2D"/>
    <w:rsid w:val="335AF173"/>
    <w:rsid w:val="338D456A"/>
    <w:rsid w:val="34F7184A"/>
    <w:rsid w:val="34FC41EB"/>
    <w:rsid w:val="351F5F0E"/>
    <w:rsid w:val="35777D92"/>
    <w:rsid w:val="358B56A1"/>
    <w:rsid w:val="35E46708"/>
    <w:rsid w:val="36155957"/>
    <w:rsid w:val="365175F7"/>
    <w:rsid w:val="36A3B93E"/>
    <w:rsid w:val="37BB6B8E"/>
    <w:rsid w:val="37D57F4F"/>
    <w:rsid w:val="38AD0F7E"/>
    <w:rsid w:val="39EA1320"/>
    <w:rsid w:val="39F33306"/>
    <w:rsid w:val="3A19529B"/>
    <w:rsid w:val="3A241698"/>
    <w:rsid w:val="3B0C034B"/>
    <w:rsid w:val="3B87301B"/>
    <w:rsid w:val="3B995940"/>
    <w:rsid w:val="3C9E2356"/>
    <w:rsid w:val="3D5B1CC1"/>
    <w:rsid w:val="3D9D35F5"/>
    <w:rsid w:val="3F2608E6"/>
    <w:rsid w:val="3FB3156E"/>
    <w:rsid w:val="402F236D"/>
    <w:rsid w:val="404E47A3"/>
    <w:rsid w:val="40CC42CD"/>
    <w:rsid w:val="40E165AE"/>
    <w:rsid w:val="41467F45"/>
    <w:rsid w:val="414A7570"/>
    <w:rsid w:val="41DB03A3"/>
    <w:rsid w:val="41F476F1"/>
    <w:rsid w:val="421E2F4E"/>
    <w:rsid w:val="422551D4"/>
    <w:rsid w:val="4247760E"/>
    <w:rsid w:val="42555DD4"/>
    <w:rsid w:val="426651C9"/>
    <w:rsid w:val="42F45F2C"/>
    <w:rsid w:val="43A7539E"/>
    <w:rsid w:val="443D3B4F"/>
    <w:rsid w:val="4482382E"/>
    <w:rsid w:val="44E5479B"/>
    <w:rsid w:val="44FC1F66"/>
    <w:rsid w:val="450D4812"/>
    <w:rsid w:val="45451BA3"/>
    <w:rsid w:val="459F36B3"/>
    <w:rsid w:val="45C918CA"/>
    <w:rsid w:val="45DF64B4"/>
    <w:rsid w:val="45EF4CA7"/>
    <w:rsid w:val="460A6E00"/>
    <w:rsid w:val="46547697"/>
    <w:rsid w:val="46C93D6D"/>
    <w:rsid w:val="475473B7"/>
    <w:rsid w:val="4762410D"/>
    <w:rsid w:val="47B33ADC"/>
    <w:rsid w:val="480C3F11"/>
    <w:rsid w:val="487F0737"/>
    <w:rsid w:val="48A844E0"/>
    <w:rsid w:val="49600003"/>
    <w:rsid w:val="496B529D"/>
    <w:rsid w:val="49B24B5A"/>
    <w:rsid w:val="49E03208"/>
    <w:rsid w:val="4A77396B"/>
    <w:rsid w:val="4AB81821"/>
    <w:rsid w:val="4B985479"/>
    <w:rsid w:val="4BA33ABF"/>
    <w:rsid w:val="4C893CE9"/>
    <w:rsid w:val="4CC31A91"/>
    <w:rsid w:val="4CC50AA1"/>
    <w:rsid w:val="4CFE43C2"/>
    <w:rsid w:val="4DB808F8"/>
    <w:rsid w:val="4E030CE1"/>
    <w:rsid w:val="4E4733D1"/>
    <w:rsid w:val="4E6B099E"/>
    <w:rsid w:val="4E724CEA"/>
    <w:rsid w:val="4F6D5C44"/>
    <w:rsid w:val="4F8C0FF7"/>
    <w:rsid w:val="4F97491F"/>
    <w:rsid w:val="4FCC04ED"/>
    <w:rsid w:val="501278A9"/>
    <w:rsid w:val="50875164"/>
    <w:rsid w:val="50AA159B"/>
    <w:rsid w:val="515406D7"/>
    <w:rsid w:val="51E8591E"/>
    <w:rsid w:val="52204B5A"/>
    <w:rsid w:val="52653AB7"/>
    <w:rsid w:val="52DA3931"/>
    <w:rsid w:val="532F041F"/>
    <w:rsid w:val="536B3AB2"/>
    <w:rsid w:val="53C26D59"/>
    <w:rsid w:val="53EB5B3F"/>
    <w:rsid w:val="54023508"/>
    <w:rsid w:val="54C65448"/>
    <w:rsid w:val="54D14F7C"/>
    <w:rsid w:val="54D81361"/>
    <w:rsid w:val="553A18D4"/>
    <w:rsid w:val="557A6AF9"/>
    <w:rsid w:val="557C13BA"/>
    <w:rsid w:val="557E5A6B"/>
    <w:rsid w:val="55AC0E93"/>
    <w:rsid w:val="56CE59E2"/>
    <w:rsid w:val="570B33EC"/>
    <w:rsid w:val="571E2F4B"/>
    <w:rsid w:val="57394304"/>
    <w:rsid w:val="57A001D2"/>
    <w:rsid w:val="57D97817"/>
    <w:rsid w:val="57E2139A"/>
    <w:rsid w:val="58375BC4"/>
    <w:rsid w:val="58649AF3"/>
    <w:rsid w:val="58A41AE0"/>
    <w:rsid w:val="596F20D2"/>
    <w:rsid w:val="598E6195"/>
    <w:rsid w:val="59C00FA2"/>
    <w:rsid w:val="5B7723BD"/>
    <w:rsid w:val="5B7E6AD2"/>
    <w:rsid w:val="5B8B3E48"/>
    <w:rsid w:val="5BF83316"/>
    <w:rsid w:val="5C6F59E7"/>
    <w:rsid w:val="5C7C01CE"/>
    <w:rsid w:val="5CA11473"/>
    <w:rsid w:val="5CBF173C"/>
    <w:rsid w:val="5D1FAAC5"/>
    <w:rsid w:val="5D612526"/>
    <w:rsid w:val="5D753789"/>
    <w:rsid w:val="5D9F1FFB"/>
    <w:rsid w:val="5E1C1835"/>
    <w:rsid w:val="5E1F5867"/>
    <w:rsid w:val="5EA156DB"/>
    <w:rsid w:val="5ED21597"/>
    <w:rsid w:val="5F7A1969"/>
    <w:rsid w:val="5FD9212B"/>
    <w:rsid w:val="60082DB8"/>
    <w:rsid w:val="604C2EC7"/>
    <w:rsid w:val="606A7F4E"/>
    <w:rsid w:val="608D7CD7"/>
    <w:rsid w:val="60CB1606"/>
    <w:rsid w:val="61245179"/>
    <w:rsid w:val="615F643A"/>
    <w:rsid w:val="6191084A"/>
    <w:rsid w:val="61E211B0"/>
    <w:rsid w:val="61F602B1"/>
    <w:rsid w:val="61F73B91"/>
    <w:rsid w:val="631B7233"/>
    <w:rsid w:val="632047E6"/>
    <w:rsid w:val="635C1398"/>
    <w:rsid w:val="638646CB"/>
    <w:rsid w:val="63CB4ECB"/>
    <w:rsid w:val="640865F2"/>
    <w:rsid w:val="653B0F3C"/>
    <w:rsid w:val="65783C37"/>
    <w:rsid w:val="65DD352D"/>
    <w:rsid w:val="66173154"/>
    <w:rsid w:val="66F24DF9"/>
    <w:rsid w:val="677A27ED"/>
    <w:rsid w:val="67A03A53"/>
    <w:rsid w:val="67CB452A"/>
    <w:rsid w:val="67CE5A39"/>
    <w:rsid w:val="6849520B"/>
    <w:rsid w:val="687264DD"/>
    <w:rsid w:val="696D2C94"/>
    <w:rsid w:val="69CF1604"/>
    <w:rsid w:val="6A5F4C82"/>
    <w:rsid w:val="6AAC4548"/>
    <w:rsid w:val="6AF4312E"/>
    <w:rsid w:val="6AFB57C6"/>
    <w:rsid w:val="6AFE44AA"/>
    <w:rsid w:val="6B163D19"/>
    <w:rsid w:val="6B81403D"/>
    <w:rsid w:val="6C4456B5"/>
    <w:rsid w:val="6D9F4929"/>
    <w:rsid w:val="6E032E11"/>
    <w:rsid w:val="6E0D03B9"/>
    <w:rsid w:val="6E9C0AB2"/>
    <w:rsid w:val="6EBA00D3"/>
    <w:rsid w:val="6ED342AA"/>
    <w:rsid w:val="6EDB28A3"/>
    <w:rsid w:val="6F045092"/>
    <w:rsid w:val="700220CF"/>
    <w:rsid w:val="70090BB2"/>
    <w:rsid w:val="71EC4D65"/>
    <w:rsid w:val="7202352B"/>
    <w:rsid w:val="721B697B"/>
    <w:rsid w:val="724D0AFE"/>
    <w:rsid w:val="72573E26"/>
    <w:rsid w:val="729C3CDA"/>
    <w:rsid w:val="72DF4E3D"/>
    <w:rsid w:val="73080BAD"/>
    <w:rsid w:val="73565882"/>
    <w:rsid w:val="73903C46"/>
    <w:rsid w:val="74353212"/>
    <w:rsid w:val="754E6248"/>
    <w:rsid w:val="768E4B0D"/>
    <w:rsid w:val="769836F9"/>
    <w:rsid w:val="7754730C"/>
    <w:rsid w:val="77AD1520"/>
    <w:rsid w:val="77C622C1"/>
    <w:rsid w:val="787A555B"/>
    <w:rsid w:val="792F7C5E"/>
    <w:rsid w:val="79F31100"/>
    <w:rsid w:val="7A731A7D"/>
    <w:rsid w:val="7AE1023C"/>
    <w:rsid w:val="7B1117C2"/>
    <w:rsid w:val="7B146770"/>
    <w:rsid w:val="7BDD5DB9"/>
    <w:rsid w:val="7BF7440E"/>
    <w:rsid w:val="7C1A44EB"/>
    <w:rsid w:val="7C4AFD60"/>
    <w:rsid w:val="7C57765C"/>
    <w:rsid w:val="7C8AE227"/>
    <w:rsid w:val="7CB632F3"/>
    <w:rsid w:val="7D315C7E"/>
    <w:rsid w:val="7D52789C"/>
    <w:rsid w:val="7DB223FD"/>
    <w:rsid w:val="7DCF1BAD"/>
    <w:rsid w:val="7E2748F9"/>
    <w:rsid w:val="7E5C7347"/>
    <w:rsid w:val="7EC375C3"/>
    <w:rsid w:val="7EC65EC0"/>
    <w:rsid w:val="7EED7801"/>
    <w:rsid w:val="7F0A7479"/>
    <w:rsid w:val="7FA66A3E"/>
    <w:rsid w:val="7FCC9ECA"/>
    <w:rsid w:val="87FF41B6"/>
    <w:rsid w:val="9759870A"/>
    <w:rsid w:val="97657340"/>
    <w:rsid w:val="A0A3260D"/>
    <w:rsid w:val="A9B216D7"/>
    <w:rsid w:val="AE5CF5D3"/>
    <w:rsid w:val="BE8FE145"/>
    <w:rsid w:val="C10B6D43"/>
    <w:rsid w:val="C298958F"/>
    <w:rsid w:val="C53363B0"/>
    <w:rsid w:val="C8ED5365"/>
    <w:rsid w:val="CC3CC7E3"/>
    <w:rsid w:val="DAC80B66"/>
    <w:rsid w:val="E28D7CB6"/>
    <w:rsid w:val="E2D9503E"/>
    <w:rsid w:val="E5BC145E"/>
    <w:rsid w:val="EC2B6558"/>
    <w:rsid w:val="EE1B89A1"/>
    <w:rsid w:val="EFCD8FF4"/>
    <w:rsid w:val="F4DF6CEF"/>
    <w:rsid w:val="FAD7A54B"/>
    <w:rsid w:val="FF6BDA2D"/>
    <w:rsid w:val="FFCE8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ind w:right="100" w:rightChars="100"/>
      <w:jc w:val="both"/>
    </w:pPr>
    <w:rPr>
      <w:rFonts w:ascii="Times New Roman" w:hAnsi="Times New Roman" w:eastAsia="仿宋" w:cs="Times New Roman"/>
      <w:kern w:val="2"/>
      <w:sz w:val="32"/>
      <w:szCs w:val="24"/>
      <w:lang w:val="en-US" w:eastAsia="zh-CN" w:bidi="ar-SA"/>
    </w:rPr>
  </w:style>
  <w:style w:type="paragraph" w:styleId="3">
    <w:name w:val="heading 1"/>
    <w:basedOn w:val="1"/>
    <w:next w:val="1"/>
    <w:link w:val="26"/>
    <w:autoRedefine/>
    <w:qFormat/>
    <w:uiPriority w:val="0"/>
    <w:pPr>
      <w:keepNext/>
      <w:keepLines/>
      <w:spacing w:before="340" w:after="330" w:line="578" w:lineRule="auto"/>
      <w:ind w:right="0" w:rightChars="0"/>
      <w:outlineLvl w:val="0"/>
    </w:pPr>
    <w:rPr>
      <w:rFonts w:ascii="Calibri" w:hAnsi="Calibri" w:eastAsia="宋体"/>
      <w:b/>
      <w:bCs/>
      <w:kern w:val="44"/>
      <w:sz w:val="44"/>
      <w:szCs w:val="44"/>
    </w:rPr>
  </w:style>
  <w:style w:type="paragraph" w:styleId="4">
    <w:name w:val="heading 2"/>
    <w:basedOn w:val="1"/>
    <w:next w:val="1"/>
    <w:link w:val="25"/>
    <w:autoRedefine/>
    <w:qFormat/>
    <w:uiPriority w:val="0"/>
    <w:pPr>
      <w:keepNext/>
      <w:keepLines/>
      <w:spacing w:before="260" w:after="260" w:line="416" w:lineRule="auto"/>
      <w:ind w:right="0" w:rightChars="0"/>
      <w:outlineLvl w:val="1"/>
    </w:pPr>
    <w:rPr>
      <w:rFonts w:ascii="Cambria" w:hAnsi="Cambria" w:eastAsia="宋体"/>
      <w:b/>
      <w:bCs/>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unhideWhenUsed/>
    <w:qFormat/>
    <w:uiPriority w:val="99"/>
    <w:pPr>
      <w:spacing w:after="120"/>
    </w:pPr>
  </w:style>
  <w:style w:type="paragraph" w:styleId="5">
    <w:name w:val="Document Map"/>
    <w:basedOn w:val="1"/>
    <w:link w:val="23"/>
    <w:autoRedefine/>
    <w:qFormat/>
    <w:uiPriority w:val="0"/>
    <w:rPr>
      <w:rFonts w:ascii="宋体" w:eastAsia="宋体"/>
      <w:sz w:val="18"/>
      <w:szCs w:val="18"/>
    </w:rPr>
  </w:style>
  <w:style w:type="paragraph" w:styleId="6">
    <w:name w:val="annotation text"/>
    <w:basedOn w:val="1"/>
    <w:link w:val="39"/>
    <w:autoRedefine/>
    <w:qFormat/>
    <w:uiPriority w:val="0"/>
    <w:pPr>
      <w:jc w:val="left"/>
    </w:pPr>
    <w:rPr>
      <w:rFonts w:eastAsia="宋体"/>
    </w:rPr>
  </w:style>
  <w:style w:type="paragraph" w:styleId="7">
    <w:name w:val="Salutation"/>
    <w:basedOn w:val="1"/>
    <w:next w:val="1"/>
    <w:link w:val="30"/>
    <w:autoRedefine/>
    <w:qFormat/>
    <w:uiPriority w:val="0"/>
    <w:rPr>
      <w:rFonts w:ascii="仿宋" w:hAnsi="仿宋"/>
      <w:szCs w:val="32"/>
    </w:rPr>
  </w:style>
  <w:style w:type="paragraph" w:styleId="8">
    <w:name w:val="Closing"/>
    <w:basedOn w:val="1"/>
    <w:link w:val="29"/>
    <w:autoRedefine/>
    <w:qFormat/>
    <w:uiPriority w:val="0"/>
    <w:pPr>
      <w:ind w:left="100" w:leftChars="2100"/>
    </w:pPr>
    <w:rPr>
      <w:rFonts w:ascii="仿宋" w:hAnsi="仿宋"/>
      <w:szCs w:val="32"/>
    </w:rPr>
  </w:style>
  <w:style w:type="paragraph" w:styleId="9">
    <w:name w:val="Date"/>
    <w:basedOn w:val="1"/>
    <w:next w:val="1"/>
    <w:autoRedefine/>
    <w:qFormat/>
    <w:uiPriority w:val="0"/>
    <w:pPr>
      <w:ind w:left="100" w:leftChars="2500"/>
    </w:pPr>
    <w:rPr>
      <w:rFonts w:eastAsia="宋体"/>
    </w:rPr>
  </w:style>
  <w:style w:type="paragraph" w:styleId="10">
    <w:name w:val="Balloon Text"/>
    <w:basedOn w:val="1"/>
    <w:autoRedefine/>
    <w:qFormat/>
    <w:uiPriority w:val="0"/>
    <w:rPr>
      <w:rFonts w:eastAsia="宋体"/>
      <w:sz w:val="18"/>
      <w:szCs w:val="18"/>
    </w:rPr>
  </w:style>
  <w:style w:type="paragraph" w:styleId="11">
    <w:name w:val="footer"/>
    <w:basedOn w:val="1"/>
    <w:link w:val="31"/>
    <w:autoRedefine/>
    <w:qFormat/>
    <w:uiPriority w:val="0"/>
    <w:pPr>
      <w:tabs>
        <w:tab w:val="center" w:pos="4153"/>
        <w:tab w:val="right" w:pos="8306"/>
      </w:tabs>
      <w:snapToGrid w:val="0"/>
      <w:jc w:val="left"/>
    </w:pPr>
    <w:rPr>
      <w:rFonts w:eastAsia="宋体"/>
      <w:sz w:val="18"/>
      <w:szCs w:val="18"/>
    </w:rPr>
  </w:style>
  <w:style w:type="paragraph" w:styleId="12">
    <w:name w:val="header"/>
    <w:basedOn w:val="1"/>
    <w:link w:val="22"/>
    <w:autoRedefine/>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13">
    <w:name w:val="toc 1"/>
    <w:basedOn w:val="1"/>
    <w:next w:val="1"/>
    <w:autoRedefine/>
    <w:qFormat/>
    <w:uiPriority w:val="0"/>
    <w:pPr>
      <w:ind w:right="0" w:rightChars="0"/>
    </w:pPr>
    <w:rPr>
      <w:rFonts w:ascii="Calibri" w:hAnsi="Calibri" w:eastAsia="宋体"/>
      <w:sz w:val="21"/>
      <w:szCs w:val="22"/>
    </w:rPr>
  </w:style>
  <w:style w:type="paragraph" w:styleId="14">
    <w:name w:val="toc 2"/>
    <w:basedOn w:val="1"/>
    <w:next w:val="1"/>
    <w:autoRedefine/>
    <w:qFormat/>
    <w:uiPriority w:val="0"/>
    <w:pPr>
      <w:ind w:left="420" w:leftChars="200" w:right="0" w:rightChars="0"/>
    </w:pPr>
    <w:rPr>
      <w:rFonts w:ascii="Calibri" w:hAnsi="Calibri" w:eastAsia="宋体"/>
      <w:sz w:val="21"/>
      <w:szCs w:val="22"/>
    </w:rPr>
  </w:style>
  <w:style w:type="paragraph" w:styleId="15">
    <w:name w:val="Normal (Web)"/>
    <w:basedOn w:val="1"/>
    <w:autoRedefine/>
    <w:qFormat/>
    <w:uiPriority w:val="0"/>
    <w:pPr>
      <w:widowControl/>
      <w:spacing w:before="100" w:beforeAutospacing="1" w:after="100" w:afterAutospacing="1"/>
      <w:ind w:right="0" w:rightChars="0"/>
      <w:jc w:val="left"/>
    </w:pPr>
    <w:rPr>
      <w:rFonts w:ascii="宋体" w:hAnsi="宋体" w:eastAsia="宋体" w:cs="宋体"/>
      <w:kern w:val="0"/>
      <w:sz w:val="24"/>
    </w:rPr>
  </w:style>
  <w:style w:type="paragraph" w:styleId="16">
    <w:name w:val="annotation subject"/>
    <w:basedOn w:val="6"/>
    <w:next w:val="6"/>
    <w:link w:val="40"/>
    <w:autoRedefine/>
    <w:semiHidden/>
    <w:unhideWhenUsed/>
    <w:qFormat/>
    <w:uiPriority w:val="99"/>
    <w:rPr>
      <w:rFonts w:eastAsia="仿宋"/>
      <w:b/>
      <w:bCs/>
    </w:rPr>
  </w:style>
  <w:style w:type="character" w:styleId="19">
    <w:name w:val="page number"/>
    <w:autoRedefine/>
    <w:qFormat/>
    <w:uiPriority w:val="0"/>
    <w:rPr>
      <w:rFonts w:ascii="Times New Roman" w:hAnsi="Times New Roman" w:eastAsia="宋体" w:cs="Times New Roman"/>
    </w:rPr>
  </w:style>
  <w:style w:type="character" w:styleId="20">
    <w:name w:val="Hyperlink"/>
    <w:autoRedefine/>
    <w:qFormat/>
    <w:uiPriority w:val="0"/>
    <w:rPr>
      <w:rFonts w:ascii="Times New Roman" w:hAnsi="Times New Roman" w:eastAsia="宋体" w:cs="Times New Roman"/>
      <w:color w:val="0000FF"/>
      <w:u w:val="single"/>
    </w:rPr>
  </w:style>
  <w:style w:type="character" w:styleId="21">
    <w:name w:val="annotation reference"/>
    <w:basedOn w:val="18"/>
    <w:autoRedefine/>
    <w:semiHidden/>
    <w:unhideWhenUsed/>
    <w:qFormat/>
    <w:uiPriority w:val="99"/>
    <w:rPr>
      <w:sz w:val="21"/>
      <w:szCs w:val="21"/>
    </w:rPr>
  </w:style>
  <w:style w:type="character" w:customStyle="1" w:styleId="22">
    <w:name w:val="页眉 字符"/>
    <w:link w:val="12"/>
    <w:autoRedefine/>
    <w:qFormat/>
    <w:uiPriority w:val="0"/>
    <w:rPr>
      <w:rFonts w:ascii="Times New Roman" w:hAnsi="Times New Roman" w:eastAsia="宋体" w:cs="Times New Roman"/>
      <w:kern w:val="2"/>
      <w:sz w:val="18"/>
      <w:szCs w:val="18"/>
    </w:rPr>
  </w:style>
  <w:style w:type="character" w:customStyle="1" w:styleId="23">
    <w:name w:val="文档结构图 字符"/>
    <w:link w:val="5"/>
    <w:autoRedefine/>
    <w:qFormat/>
    <w:uiPriority w:val="0"/>
    <w:rPr>
      <w:rFonts w:ascii="宋体" w:hAnsi="Times New Roman" w:eastAsia="宋体" w:cs="Times New Roman"/>
      <w:kern w:val="2"/>
      <w:sz w:val="18"/>
      <w:szCs w:val="18"/>
    </w:rPr>
  </w:style>
  <w:style w:type="character" w:customStyle="1" w:styleId="24">
    <w:name w:val="Font Style24"/>
    <w:autoRedefine/>
    <w:qFormat/>
    <w:uiPriority w:val="0"/>
    <w:rPr>
      <w:rFonts w:ascii="黑体" w:hAnsi="Times New Roman" w:eastAsia="黑体" w:cs="Times New Roman"/>
      <w:spacing w:val="10"/>
      <w:sz w:val="30"/>
    </w:rPr>
  </w:style>
  <w:style w:type="character" w:customStyle="1" w:styleId="25">
    <w:name w:val="标题 2 字符"/>
    <w:link w:val="4"/>
    <w:autoRedefine/>
    <w:qFormat/>
    <w:uiPriority w:val="0"/>
    <w:rPr>
      <w:rFonts w:ascii="Cambria" w:hAnsi="Cambria" w:eastAsia="宋体" w:cs="Times New Roman"/>
      <w:b/>
      <w:bCs/>
      <w:kern w:val="2"/>
      <w:sz w:val="32"/>
      <w:szCs w:val="32"/>
    </w:rPr>
  </w:style>
  <w:style w:type="character" w:customStyle="1" w:styleId="26">
    <w:name w:val="标题 1 字符"/>
    <w:link w:val="3"/>
    <w:autoRedefine/>
    <w:qFormat/>
    <w:uiPriority w:val="0"/>
    <w:rPr>
      <w:rFonts w:ascii="Calibri" w:hAnsi="Calibri" w:eastAsia="宋体" w:cs="Times New Roman"/>
      <w:b/>
      <w:bCs/>
      <w:kern w:val="44"/>
      <w:sz w:val="44"/>
      <w:szCs w:val="44"/>
    </w:rPr>
  </w:style>
  <w:style w:type="character" w:customStyle="1" w:styleId="27">
    <w:name w:val="签署页 Char"/>
    <w:link w:val="28"/>
    <w:autoRedefine/>
    <w:qFormat/>
    <w:uiPriority w:val="0"/>
    <w:rPr>
      <w:rFonts w:ascii="Times New Roman" w:hAnsi="Times New Roman" w:eastAsia="楷体_GB2312" w:cs="Times New Roman"/>
      <w:kern w:val="2"/>
      <w:sz w:val="24"/>
      <w:szCs w:val="24"/>
    </w:rPr>
  </w:style>
  <w:style w:type="paragraph" w:customStyle="1" w:styleId="28">
    <w:name w:val="签署页"/>
    <w:basedOn w:val="1"/>
    <w:link w:val="27"/>
    <w:autoRedefine/>
    <w:qFormat/>
    <w:uiPriority w:val="0"/>
    <w:pPr>
      <w:spacing w:beforeLines="50" w:afterLines="100" w:line="440" w:lineRule="exact"/>
      <w:ind w:left="200" w:leftChars="200" w:right="0" w:rightChars="0"/>
      <w:jc w:val="left"/>
    </w:pPr>
    <w:rPr>
      <w:rFonts w:eastAsia="楷体_GB2312"/>
      <w:sz w:val="24"/>
    </w:rPr>
  </w:style>
  <w:style w:type="character" w:customStyle="1" w:styleId="29">
    <w:name w:val="结束语 字符"/>
    <w:link w:val="8"/>
    <w:autoRedefine/>
    <w:qFormat/>
    <w:uiPriority w:val="0"/>
    <w:rPr>
      <w:rFonts w:ascii="仿宋" w:hAnsi="仿宋" w:eastAsia="仿宋" w:cs="Times New Roman"/>
      <w:kern w:val="2"/>
      <w:sz w:val="32"/>
      <w:szCs w:val="32"/>
    </w:rPr>
  </w:style>
  <w:style w:type="character" w:customStyle="1" w:styleId="30">
    <w:name w:val="称呼 字符"/>
    <w:link w:val="7"/>
    <w:autoRedefine/>
    <w:qFormat/>
    <w:uiPriority w:val="0"/>
    <w:rPr>
      <w:rFonts w:ascii="仿宋" w:hAnsi="仿宋" w:eastAsia="仿宋" w:cs="Times New Roman"/>
      <w:kern w:val="2"/>
      <w:sz w:val="32"/>
      <w:szCs w:val="32"/>
    </w:rPr>
  </w:style>
  <w:style w:type="character" w:customStyle="1" w:styleId="31">
    <w:name w:val="页脚 字符"/>
    <w:link w:val="11"/>
    <w:autoRedefine/>
    <w:qFormat/>
    <w:uiPriority w:val="0"/>
    <w:rPr>
      <w:rFonts w:ascii="Times New Roman" w:hAnsi="Times New Roman" w:eastAsia="宋体" w:cs="Times New Roman"/>
      <w:kern w:val="2"/>
      <w:sz w:val="18"/>
      <w:szCs w:val="18"/>
    </w:rPr>
  </w:style>
  <w:style w:type="character" w:customStyle="1" w:styleId="32">
    <w:name w:val="无"/>
    <w:autoRedefine/>
    <w:qFormat/>
    <w:uiPriority w:val="0"/>
    <w:rPr>
      <w:rFonts w:ascii="Times New Roman" w:hAnsi="Times New Roman" w:eastAsia="宋体" w:cs="Times New Roman"/>
    </w:rPr>
  </w:style>
  <w:style w:type="paragraph" w:customStyle="1" w:styleId="33">
    <w:name w:val="_Style 30"/>
    <w:autoRedefine/>
    <w:unhideWhenUsed/>
    <w:qFormat/>
    <w:uiPriority w:val="99"/>
    <w:rPr>
      <w:rFonts w:ascii="Times New Roman" w:hAnsi="Times New Roman" w:eastAsia="仿宋" w:cs="Times New Roman"/>
      <w:kern w:val="2"/>
      <w:sz w:val="32"/>
      <w:szCs w:val="24"/>
      <w:lang w:val="en-US" w:eastAsia="zh-CN" w:bidi="ar-SA"/>
    </w:rPr>
  </w:style>
  <w:style w:type="paragraph" w:customStyle="1" w:styleId="34">
    <w:name w:val="列表段落1"/>
    <w:basedOn w:val="1"/>
    <w:autoRedefine/>
    <w:qFormat/>
    <w:uiPriority w:val="0"/>
    <w:pPr>
      <w:ind w:right="0" w:rightChars="0" w:firstLine="420" w:firstLineChars="200"/>
    </w:pPr>
    <w:rPr>
      <w:rFonts w:ascii="Calibri" w:hAnsi="Calibri" w:eastAsia="宋体"/>
      <w:sz w:val="21"/>
      <w:szCs w:val="22"/>
    </w:rPr>
  </w:style>
  <w:style w:type="paragraph" w:customStyle="1" w:styleId="35">
    <w:name w:val="Normal (Justified)"/>
    <w:basedOn w:val="1"/>
    <w:autoRedefine/>
    <w:qFormat/>
    <w:uiPriority w:val="0"/>
    <w:pPr>
      <w:widowControl/>
      <w:spacing w:beforeLines="50" w:afterLines="100" w:line="440" w:lineRule="exact"/>
      <w:ind w:left="200" w:leftChars="200" w:right="0" w:rightChars="0"/>
      <w:jc w:val="left"/>
    </w:pPr>
    <w:rPr>
      <w:rFonts w:eastAsia="宋体"/>
      <w:snapToGrid w:val="0"/>
      <w:kern w:val="28"/>
      <w:sz w:val="24"/>
      <w:szCs w:val="20"/>
    </w:rPr>
  </w:style>
  <w:style w:type="paragraph" w:styleId="36">
    <w:name w:val="List Paragraph"/>
    <w:basedOn w:val="1"/>
    <w:autoRedefine/>
    <w:qFormat/>
    <w:uiPriority w:val="0"/>
    <w:pPr>
      <w:spacing w:beforeLines="50" w:afterLines="100" w:line="440" w:lineRule="exact"/>
      <w:ind w:left="200" w:leftChars="200" w:right="0" w:rightChars="0" w:firstLine="420" w:firstLineChars="200"/>
      <w:jc w:val="left"/>
    </w:pPr>
    <w:rPr>
      <w:rFonts w:eastAsia="楷体_GB2312"/>
      <w:sz w:val="24"/>
    </w:rPr>
  </w:style>
  <w:style w:type="paragraph" w:customStyle="1" w:styleId="37">
    <w:name w:val="修订1"/>
    <w:autoRedefine/>
    <w:hidden/>
    <w:semiHidden/>
    <w:qFormat/>
    <w:uiPriority w:val="99"/>
    <w:rPr>
      <w:rFonts w:ascii="Times New Roman" w:hAnsi="Times New Roman" w:eastAsia="仿宋" w:cs="Times New Roman"/>
      <w:kern w:val="2"/>
      <w:sz w:val="32"/>
      <w:szCs w:val="24"/>
      <w:lang w:val="en-US" w:eastAsia="zh-CN" w:bidi="ar-SA"/>
    </w:rPr>
  </w:style>
  <w:style w:type="paragraph" w:customStyle="1" w:styleId="38">
    <w:name w:val="修订2"/>
    <w:autoRedefine/>
    <w:hidden/>
    <w:semiHidden/>
    <w:qFormat/>
    <w:uiPriority w:val="99"/>
    <w:rPr>
      <w:rFonts w:ascii="Times New Roman" w:hAnsi="Times New Roman" w:eastAsia="仿宋" w:cs="Times New Roman"/>
      <w:kern w:val="2"/>
      <w:sz w:val="32"/>
      <w:szCs w:val="24"/>
      <w:lang w:val="en-US" w:eastAsia="zh-CN" w:bidi="ar-SA"/>
    </w:rPr>
  </w:style>
  <w:style w:type="character" w:customStyle="1" w:styleId="39">
    <w:name w:val="批注文字 字符"/>
    <w:basedOn w:val="18"/>
    <w:link w:val="6"/>
    <w:autoRedefine/>
    <w:qFormat/>
    <w:uiPriority w:val="0"/>
    <w:rPr>
      <w:kern w:val="2"/>
      <w:sz w:val="32"/>
      <w:szCs w:val="24"/>
    </w:rPr>
  </w:style>
  <w:style w:type="character" w:customStyle="1" w:styleId="40">
    <w:name w:val="批注主题 字符"/>
    <w:basedOn w:val="39"/>
    <w:link w:val="16"/>
    <w:autoRedefine/>
    <w:semiHidden/>
    <w:qFormat/>
    <w:uiPriority w:val="99"/>
    <w:rPr>
      <w:rFonts w:eastAsia="仿宋"/>
      <w:b/>
      <w:bCs/>
      <w:kern w:val="2"/>
      <w:sz w:val="32"/>
      <w:szCs w:val="24"/>
    </w:rPr>
  </w:style>
  <w:style w:type="paragraph" w:styleId="41">
    <w:name w:val="No Spacing"/>
    <w:link w:val="42"/>
    <w:autoRedefine/>
    <w:qFormat/>
    <w:uiPriority w:val="1"/>
    <w:rPr>
      <w:rFonts w:eastAsia="Microsoft YaHei UI" w:asciiTheme="minorHAnsi" w:hAnsiTheme="minorHAnsi" w:cstheme="minorBidi"/>
      <w:sz w:val="22"/>
      <w:szCs w:val="22"/>
      <w:lang w:val="en-US" w:eastAsia="zh-CN" w:bidi="ar-SA"/>
    </w:rPr>
  </w:style>
  <w:style w:type="character" w:customStyle="1" w:styleId="42">
    <w:name w:val="无间隔 字符"/>
    <w:basedOn w:val="18"/>
    <w:link w:val="41"/>
    <w:autoRedefine/>
    <w:qFormat/>
    <w:uiPriority w:val="1"/>
    <w:rPr>
      <w:rFonts w:eastAsia="Microsoft YaHei UI" w:asciiTheme="minorHAnsi" w:hAnsiTheme="minorHAnsi" w:cstheme="minorBidi"/>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16</Pages>
  <Words>6371</Words>
  <Characters>6848</Characters>
  <Lines>47</Lines>
  <Paragraphs>13</Paragraphs>
  <TotalTime>7</TotalTime>
  <ScaleCrop>false</ScaleCrop>
  <LinksUpToDate>false</LinksUpToDate>
  <CharactersWithSpaces>7103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2024-07-01T03:40:00Z</dcterms:created>
  <dc:creator>CurUserName</dc:creator>
  <cp:lastModifiedBy>明明</cp:lastModifiedBy>
  <cp:lastPrinted>2024-07-04T07:41:25Z</cp:lastPrinted>
  <dcterms:modified xsi:type="dcterms:W3CDTF">2024-07-04T07:41:27Z</dcterms:modified>
  <dc:title>贵州省再担保有限公司党建工作制度</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B141C7EB775949B9BE49AF2D65957B15_13</vt:lpwstr>
  </property>
</Properties>
</file>