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37327" w:rsidP="00237327">
      <w:pPr>
        <w:jc w:val="center"/>
        <w:rPr>
          <w:rFonts w:asciiTheme="majorEastAsia" w:eastAsiaTheme="majorEastAsia" w:hAnsiTheme="majorEastAsia" w:hint="eastAsia"/>
          <w:b/>
          <w:sz w:val="44"/>
          <w:szCs w:val="44"/>
        </w:rPr>
      </w:pPr>
      <w:r w:rsidRPr="00237327">
        <w:rPr>
          <w:rFonts w:asciiTheme="majorEastAsia" w:eastAsiaTheme="majorEastAsia" w:hAnsiTheme="majorEastAsia" w:hint="eastAsia"/>
          <w:b/>
          <w:sz w:val="44"/>
          <w:szCs w:val="44"/>
        </w:rPr>
        <w:t>债权诉讼情况</w:t>
      </w:r>
    </w:p>
    <w:p w:rsidR="00237327" w:rsidRPr="00237327" w:rsidRDefault="00237327" w:rsidP="00237327">
      <w:pPr>
        <w:jc w:val="center"/>
        <w:rPr>
          <w:rFonts w:asciiTheme="majorEastAsia" w:eastAsiaTheme="majorEastAsia" w:hAnsiTheme="majorEastAsia" w:hint="eastAsia"/>
          <w:b/>
          <w:sz w:val="44"/>
          <w:szCs w:val="44"/>
        </w:rPr>
      </w:pPr>
    </w:p>
    <w:p w:rsidR="00237327" w:rsidRDefault="00237327" w:rsidP="00237327">
      <w:pPr>
        <w:ind w:firstLineChars="150" w:firstLine="480"/>
        <w:rPr>
          <w:rFonts w:hint="eastAsia"/>
        </w:rPr>
      </w:pPr>
      <w:r>
        <w:rPr>
          <w:rFonts w:ascii="仿宋_GB2312" w:eastAsia="仿宋_GB2312" w:hAnsi="仿宋" w:hint="eastAsia"/>
          <w:sz w:val="32"/>
          <w:szCs w:val="32"/>
        </w:rPr>
        <w:t>安龙等四家农商银行于2018年向贵州省黔西南布依族苗族自治州中级人民法院提起诉讼，贵州省黔西南布依族苗族自治州中级人民法院于 2018年11月5日作出（2018）黔 23 民初 51 号《民事判决书》，判决：</w:t>
      </w:r>
      <w:r>
        <w:rPr>
          <w:rFonts w:ascii="仿宋_GB2312" w:eastAsia="仿宋_GB2312" w:hAnsi="仿宋" w:hint="eastAsia"/>
          <w:b/>
          <w:bCs/>
          <w:sz w:val="32"/>
          <w:szCs w:val="32"/>
        </w:rPr>
        <w:t>一是</w:t>
      </w:r>
      <w:r>
        <w:rPr>
          <w:rFonts w:ascii="仿宋_GB2312" w:eastAsia="仿宋_GB2312" w:hAnsi="仿宋" w:hint="eastAsia"/>
          <w:sz w:val="32"/>
          <w:szCs w:val="32"/>
        </w:rPr>
        <w:t>原告贵州安龙农村商业银行股份有限公司、册亨县农村信用合作联社、贵州兴仁农村商业银行股份有限公司、望谟县农村信用合作联社与被告安龙县百兴煤焦有限责任公司于2016年9月29日签订的（安）农商行（2016）年社团贷字33号《社团借款合同》、（安）农商行（2016）年抵字 33－1 号《抵押合同》、（安）农商行（2016）年抵字 33－4 号《抵押合同》及（安）农商行（2016）动抵字 33 号《动产抵押合同》；原告贵州安龙农村商业银行股份有限公司、册亨县农村信用合作联社、贵州兴仁农村商业银行股份有限公司、望谟县农村信用合作联社与被告许光伍、许惠芬于 2016年9月29日签订的（安）农商行（2016）年抵字 33－2 号、33－3 号《抵押合同》、（安）农商行（2016）年保贷字33号《保证合同》均系各方真实意思表示，未违反法律的效力性禁止性规定，为有效协议。</w:t>
      </w:r>
      <w:r>
        <w:rPr>
          <w:rFonts w:ascii="仿宋_GB2312" w:eastAsia="仿宋_GB2312" w:hAnsi="仿宋" w:hint="eastAsia"/>
          <w:b/>
          <w:bCs/>
          <w:sz w:val="32"/>
          <w:szCs w:val="32"/>
        </w:rPr>
        <w:t>二是</w:t>
      </w:r>
      <w:r>
        <w:rPr>
          <w:rFonts w:ascii="仿宋_GB2312" w:eastAsia="仿宋_GB2312" w:hAnsi="仿宋" w:hint="eastAsia"/>
          <w:sz w:val="32"/>
          <w:szCs w:val="32"/>
        </w:rPr>
        <w:t>由被告安龙县百兴煤焦有限责任公司于本判决生效之日起十日内偿还原告贵州安龙农村商业银行股份有限公司、册亨县农村信用合作联社、贵州兴仁农村商业银行股</w:t>
      </w:r>
      <w:r>
        <w:rPr>
          <w:rFonts w:ascii="仿宋_GB2312" w:eastAsia="仿宋_GB2312" w:hAnsi="仿宋" w:hint="eastAsia"/>
          <w:sz w:val="32"/>
          <w:szCs w:val="32"/>
        </w:rPr>
        <w:lastRenderedPageBreak/>
        <w:t>份有限公司、望谟县农村信用合作联社借款本金 40039833.2元及利息、罚息、复利（计算方法如下：1、利息：借期内所欠利息404466.63元；2、罚息：以 40039833.2 元为基数，以月利率为 10.2‰，从 2018年8月11日起计算至本息实际清偿之日止；3、复利：以 404466.63 元为基数，以月利率为10.2‰，从2018年8月11日起计算至本息实际清偿之日止）。由被告安龙县百兴煤焦有限责任公司于本判决生效之日起十日内支付原告贵州安龙农村商业银行股份有限公司、册亨县农村信用合作联社、贵州兴仁农村商业银行股份有限公司、望谟县农村信用合作联社本次诉讼产生的律师费15万元。</w:t>
      </w:r>
      <w:r>
        <w:rPr>
          <w:rFonts w:ascii="仿宋_GB2312" w:eastAsia="仿宋_GB2312" w:hAnsi="仿宋" w:hint="eastAsia"/>
          <w:b/>
          <w:bCs/>
          <w:sz w:val="32"/>
          <w:szCs w:val="32"/>
        </w:rPr>
        <w:t>三是</w:t>
      </w:r>
      <w:r>
        <w:rPr>
          <w:rFonts w:ascii="仿宋_GB2312" w:eastAsia="仿宋_GB2312" w:hAnsi="仿宋" w:hint="eastAsia"/>
          <w:sz w:val="32"/>
          <w:szCs w:val="32"/>
        </w:rPr>
        <w:t>原告贵州安龙农村商业银行股份有限公司、册亨县农村信用合作联社、贵州兴仁农村商业银行股份有限公司、望谟县农村信用合作联社有权对被告安龙县百兴煤焦有限责任公司所有的位于安龙新安镇岔河村野猫洞的五套房屋（房屋所有权证号为：安房权证新安镇字第 20070477 号、20070478 号、20070479 号、20070480 号、20070481 号，土地使用权证号为：安国用2005第0193012号）处置所得价款在本判决第二项确定的债权范围内在借款本金600万元、利息、违约金及律师费等享有优先受偿权。原告贵州安龙农村商业银行股份有限公司、册亨县农村信用合作联社、贵州兴仁农村商业银行股份有限公司、望谟县农村信用合作联社有权对被告安龙县百兴煤焦有限责任公司</w:t>
      </w:r>
      <w:r>
        <w:rPr>
          <w:rFonts w:ascii="仿宋_GB2312" w:eastAsia="仿宋_GB2312" w:hAnsi="仿宋" w:hint="eastAsia"/>
          <w:sz w:val="32"/>
          <w:szCs w:val="32"/>
        </w:rPr>
        <w:lastRenderedPageBreak/>
        <w:t>所有的生产设备【工业锅炉（1套）、洗煤设备（1 套）、地泵（磅）（2 套）、发电机（1 台）、切焦机（1 套）、铲车（2 台）】处置所得价款在本判决第二项确定的债权范围内在 1400 万元、利息、违约金及实现债权的费用等范围内应享有优先受偿权。</w:t>
      </w:r>
      <w:r>
        <w:rPr>
          <w:rFonts w:ascii="仿宋_GB2312" w:eastAsia="仿宋_GB2312" w:hAnsi="仿宋" w:hint="eastAsia"/>
          <w:b/>
          <w:bCs/>
          <w:sz w:val="32"/>
          <w:szCs w:val="32"/>
        </w:rPr>
        <w:t>四是</w:t>
      </w:r>
      <w:r>
        <w:rPr>
          <w:rFonts w:ascii="仿宋_GB2312" w:eastAsia="仿宋_GB2312" w:hAnsi="仿宋" w:hint="eastAsia"/>
          <w:sz w:val="32"/>
          <w:szCs w:val="32"/>
        </w:rPr>
        <w:t>原告贵州安龙农村商业银行股份有限公司、册亨县农村信用合作联社、贵州兴仁农村商业银行股份有限公司、望谟县农村信用合作联社有权对被告许光伍、许惠芬所有的位于贵州省贵阳市中华南路36号台湾大厦2层1号的房屋【房屋所有权证号为：筑房权证南明字第 010207381 号，土地使用权证号为：筑国用（2010）第19412号】处置所得价款在本判决第二项确定的债权范围内在 1450 万元、利息、违约金及实现债权的费用等范围内应享有优先受偿权。原告贵州安龙农村商业银行股份有限公司、册亨县农村信用合作联社、贵州兴仁农村商业银行股份有限公司、望谟县农村信用合作联社有权对被告许光伍、许惠芬所有的位于贵州省贵阳市中华南路36号台湾大厦5层1号的房屋【房屋所有权证号为：筑房权证南明字第010207382号，土地使用权证号为：筑国用（2010）第 19414 号】处置所得价款在本判决第二项确定的债权范围内在 800 万元、利息、违约金及实现债权的费用等范围内应享有优先受偿权。上述抵押权实现后，许光伍、许惠芬有权向安龙县百兴煤焦有限责任公司追偿。</w:t>
      </w:r>
      <w:r>
        <w:rPr>
          <w:rFonts w:ascii="仿宋_GB2312" w:eastAsia="仿宋_GB2312" w:hAnsi="仿宋" w:hint="eastAsia"/>
          <w:b/>
          <w:bCs/>
          <w:sz w:val="32"/>
          <w:szCs w:val="32"/>
        </w:rPr>
        <w:t>五是</w:t>
      </w:r>
      <w:r>
        <w:rPr>
          <w:rFonts w:ascii="仿宋_GB2312" w:eastAsia="仿宋_GB2312" w:hAnsi="仿宋" w:hint="eastAsia"/>
          <w:sz w:val="32"/>
          <w:szCs w:val="32"/>
        </w:rPr>
        <w:t>由被告许光伍、许惠芬对本判决第</w:t>
      </w:r>
      <w:r>
        <w:rPr>
          <w:rFonts w:ascii="仿宋_GB2312" w:eastAsia="仿宋_GB2312" w:hAnsi="仿宋" w:hint="eastAsia"/>
          <w:sz w:val="32"/>
          <w:szCs w:val="32"/>
        </w:rPr>
        <w:lastRenderedPageBreak/>
        <w:t>二项确定的债权在40039833.20 元及利息、违约金及实现债权的费用范围内对被告安龙县百兴煤焦有限责任公司所欠债务承担连带保证责任。其承担保证责任后，有权向安龙县百兴煤焦有限责任公司追偿。案件受理费 244021元、保全费5000元，由被告安龙县百兴煤焦有限责任公司、许光伍、许惠芬共同承担。原告贵州安龙农村商业银行股份有限公司、册亨县农村信用合作联社、贵州兴仁农村商业银行股份有限公司、望谟县农村信用合作联社预交诉讼费296237元，予以退回52216元。如未按本判决指定的期间履行给付金钱义务的，应当依照《中华人民共和国民事诉讼法》第二百五十三条之规定，加倍支付迟延履行期间的债务利息</w:t>
      </w:r>
      <w:r>
        <w:rPr>
          <w:rFonts w:ascii="仿宋_GB2312" w:eastAsia="仿宋_GB2312" w:hAnsi="仿宋" w:hint="eastAsia"/>
          <w:b/>
          <w:sz w:val="32"/>
          <w:szCs w:val="32"/>
        </w:rPr>
        <w:t>。</w:t>
      </w:r>
    </w:p>
    <w:sectPr w:rsidR="002373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530F" w:rsidRDefault="00C6530F" w:rsidP="00237327">
      <w:r>
        <w:separator/>
      </w:r>
    </w:p>
  </w:endnote>
  <w:endnote w:type="continuationSeparator" w:id="1">
    <w:p w:rsidR="00C6530F" w:rsidRDefault="00C6530F" w:rsidP="002373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530F" w:rsidRDefault="00C6530F" w:rsidP="00237327">
      <w:r>
        <w:separator/>
      </w:r>
    </w:p>
  </w:footnote>
  <w:footnote w:type="continuationSeparator" w:id="1">
    <w:p w:rsidR="00C6530F" w:rsidRDefault="00C6530F" w:rsidP="002373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7327"/>
    <w:rsid w:val="00237327"/>
    <w:rsid w:val="00C65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37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37327"/>
    <w:rPr>
      <w:sz w:val="18"/>
      <w:szCs w:val="18"/>
    </w:rPr>
  </w:style>
  <w:style w:type="paragraph" w:styleId="a4">
    <w:name w:val="footer"/>
    <w:basedOn w:val="a"/>
    <w:link w:val="Char0"/>
    <w:uiPriority w:val="99"/>
    <w:semiHidden/>
    <w:unhideWhenUsed/>
    <w:rsid w:val="0023732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3732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313</Words>
  <Characters>1786</Characters>
  <Application>Microsoft Office Word</Application>
  <DocSecurity>0</DocSecurity>
  <Lines>14</Lines>
  <Paragraphs>4</Paragraphs>
  <ScaleCrop>false</ScaleCrop>
  <Company/>
  <LinksUpToDate>false</LinksUpToDate>
  <CharactersWithSpaces>2095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2024-06-04T07:48:00Z</dcterms:created>
  <dcterms:modified xsi:type="dcterms:W3CDTF">2024-06-04T07:50:00Z</dcterms:modified>
</cp:coreProperties>
</file>