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heme="majorEastAsia" w:hAnsiTheme="majorEastAsia" w:eastAsiaTheme="majorEastAsia"/>
          <w:b/>
          <w:bCs/>
          <w:color w:val="auto"/>
          <w:sz w:val="32"/>
          <w:szCs w:val="32"/>
        </w:rPr>
      </w:pPr>
      <w:r>
        <w:rPr>
          <w:rFonts w:hint="eastAsia" w:ascii="宋体" w:hAnsi="宋体"/>
          <w:b/>
          <w:bCs/>
          <w:color w:val="auto"/>
          <w:sz w:val="44"/>
          <w:szCs w:val="44"/>
        </w:rPr>
        <w:t xml:space="preserve"> </w:t>
      </w:r>
      <w:r>
        <w:rPr>
          <w:rFonts w:hint="eastAsia" w:asciiTheme="majorEastAsia" w:hAnsiTheme="majorEastAsia" w:eastAsiaTheme="majorEastAsia"/>
          <w:b/>
          <w:bCs/>
          <w:color w:val="auto"/>
          <w:sz w:val="32"/>
          <w:szCs w:val="32"/>
        </w:rPr>
        <w:t>贵州阳光产权交易所交易保证金须知</w:t>
      </w:r>
    </w:p>
    <w:p>
      <w:pPr>
        <w:keepNext w:val="0"/>
        <w:keepLines w:val="0"/>
        <w:pageBreakBefore w:val="0"/>
        <w:widowControl w:val="0"/>
        <w:kinsoku/>
        <w:wordWrap/>
        <w:overflowPunct/>
        <w:topLinePunct w:val="0"/>
        <w:autoSpaceDE/>
        <w:autoSpaceDN/>
        <w:bidi w:val="0"/>
        <w:adjustRightInd/>
        <w:snapToGrid/>
        <w:spacing w:line="288" w:lineRule="auto"/>
        <w:ind w:firstLine="2249" w:firstLineChars="700"/>
        <w:textAlignment w:val="auto"/>
        <w:rPr>
          <w:rFonts w:asciiTheme="majorEastAsia" w:hAnsiTheme="majorEastAsia" w:eastAsiaTheme="majorEastAsia"/>
          <w:b/>
          <w:bCs/>
          <w:color w:val="auto"/>
          <w:sz w:val="32"/>
          <w:szCs w:val="32"/>
        </w:rPr>
      </w:pPr>
      <w:r>
        <w:rPr>
          <w:rFonts w:hint="eastAsia" w:asciiTheme="majorEastAsia" w:hAnsiTheme="majorEastAsia" w:eastAsiaTheme="majorEastAsia"/>
          <w:b/>
          <w:bCs/>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b/>
          <w:color w:val="auto"/>
          <w:sz w:val="24"/>
        </w:rPr>
      </w:pPr>
      <w:r>
        <w:rPr>
          <w:rFonts w:hint="eastAsia" w:ascii="宋体" w:hAnsi="宋体"/>
          <w:b/>
          <w:color w:val="auto"/>
          <w:sz w:val="24"/>
        </w:rPr>
        <w:t>意向受让方在项目报名前，应认真阅读本须知。</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一.保证金是意向受让方是否正式报名的重要条件，只有在正式填报《意向受让申请书》并按要求提供意向受让方相关资料及交纳本次交易保证金之后，方可成为正式意向受让方。</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二.保证金应在意向受让方填报《意向受让申请书》并提供资料的同时交纳，不得晚于信息披露截止时间。保证金交纳方式：移动POS交款（针对个人）、转账支票（需提供进账单）、银行汇款、网银转账、银行汇票（不可背书转让并在有效期内）等；保证金到账时间以本所开户银行收讫章时间为准。</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u w:val="single"/>
        </w:rPr>
      </w:pPr>
      <w:r>
        <w:rPr>
          <w:rFonts w:hint="eastAsia" w:ascii="宋体" w:hAnsi="宋体"/>
          <w:color w:val="auto"/>
          <w:sz w:val="24"/>
        </w:rPr>
        <w:t>三.</w:t>
      </w:r>
      <w:r>
        <w:rPr>
          <w:rFonts w:hint="eastAsia" w:ascii="宋体" w:hAnsi="宋体"/>
          <w:color w:val="auto"/>
          <w:sz w:val="28"/>
          <w:szCs w:val="28"/>
        </w:rPr>
        <w:t xml:space="preserve"> </w:t>
      </w:r>
      <w:r>
        <w:rPr>
          <w:rFonts w:hint="eastAsia" w:ascii="宋体" w:hAnsi="宋体"/>
          <w:color w:val="auto"/>
          <w:sz w:val="24"/>
        </w:rPr>
        <w:t>如采用竞价方式组织交易，意向受让方所交纳的保证金自动转为竞价保证金，并适用该种竞价规则中关于保证金的规定。</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四. 本所只对意向受让方所交纳的保证金负有保管义务，任何情况下均不负支付利息及所产生收益的责任；本所不对意向受让方交纳保证金后的交易结果做出任何保证和承诺。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五. 出现下列情形意向受让方可申请退还保证金：</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（1）转让方对意向受让方实质性审察后未达到受让方条件或参加竞价未能成功；</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（2）国资监管部门认为其他应退还保证金的行为。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除以上情形外，意向受让方按规定交纳保证金后，不得随意要求退还保证金。</w:t>
      </w:r>
    </w:p>
    <w:p>
      <w:pPr>
        <w:keepNext w:val="0"/>
        <w:keepLines w:val="0"/>
        <w:pageBreakBefore w:val="0"/>
        <w:widowControl w:val="0"/>
        <w:numPr>
          <w:ilvl w:val="0"/>
          <w:numId w:val="1"/>
        </w:numPr>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出现本须知第五条之情形，意向受让方可要求退还保证金，本所在收到保证金交纳收据后三个工作日之内完成结算，但不包括银行兑付、在途等时间。</w:t>
      </w:r>
    </w:p>
    <w:p>
      <w:pPr>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七</w:t>
      </w:r>
      <w:r>
        <w:rPr>
          <w:rFonts w:hint="eastAsia" w:ascii="宋体" w:hAnsi="宋体"/>
          <w:sz w:val="24"/>
          <w:highlight w:val="none"/>
        </w:rPr>
        <w:t>、</w:t>
      </w:r>
      <w:r>
        <w:rPr>
          <w:rFonts w:hint="eastAsia" w:ascii="宋体" w:hAnsi="宋体"/>
          <w:sz w:val="24"/>
          <w:highlight w:val="none"/>
          <w:lang w:eastAsia="zh-CN"/>
        </w:rPr>
        <w:t>受让申请方</w:t>
      </w:r>
      <w:r>
        <w:rPr>
          <w:rFonts w:ascii="宋体" w:hAnsi="宋体"/>
          <w:sz w:val="24"/>
          <w:highlight w:val="none"/>
        </w:rPr>
        <w:t>享有以下权利</w:t>
      </w:r>
      <w:r>
        <w:rPr>
          <w:rFonts w:hint="eastAsia" w:ascii="宋体" w:hAnsi="宋体"/>
          <w:sz w:val="24"/>
          <w:highlight w:val="none"/>
        </w:rPr>
        <w:t>：</w:t>
      </w:r>
    </w:p>
    <w:p>
      <w:pPr>
        <w:spacing w:line="360" w:lineRule="auto"/>
        <w:ind w:firstLine="360" w:firstLineChars="150"/>
        <w:rPr>
          <w:rFonts w:hint="eastAsia" w:ascii="宋体" w:hAnsi="宋体"/>
          <w:sz w:val="24"/>
          <w:highlight w:val="none"/>
        </w:rPr>
      </w:pPr>
      <w:r>
        <w:rPr>
          <w:rFonts w:hint="eastAsia" w:ascii="宋体" w:hAnsi="宋体"/>
          <w:sz w:val="24"/>
          <w:highlight w:val="none"/>
        </w:rPr>
        <w:t>（一）</w:t>
      </w:r>
      <w:r>
        <w:rPr>
          <w:rFonts w:ascii="宋体" w:hAnsi="宋体"/>
          <w:sz w:val="24"/>
          <w:highlight w:val="none"/>
        </w:rPr>
        <w:t>有权要求了解本次转让标的的详细资料</w:t>
      </w:r>
      <w:r>
        <w:rPr>
          <w:rFonts w:hint="eastAsia" w:ascii="宋体" w:hAnsi="宋体"/>
          <w:sz w:val="24"/>
          <w:highlight w:val="none"/>
        </w:rPr>
        <w:t>，</w:t>
      </w:r>
      <w:r>
        <w:rPr>
          <w:rFonts w:ascii="宋体" w:hAnsi="宋体"/>
          <w:sz w:val="24"/>
          <w:highlight w:val="none"/>
        </w:rPr>
        <w:t>并就不明事宜要求做出解释和澄清</w:t>
      </w:r>
      <w:r>
        <w:rPr>
          <w:rFonts w:hint="eastAsia" w:ascii="宋体" w:hAnsi="宋体"/>
          <w:sz w:val="24"/>
          <w:highlight w:val="none"/>
        </w:rPr>
        <w:t>；</w:t>
      </w:r>
    </w:p>
    <w:p>
      <w:pPr>
        <w:spacing w:line="360" w:lineRule="auto"/>
        <w:ind w:firstLine="360" w:firstLineChars="150"/>
        <w:rPr>
          <w:rFonts w:ascii="宋体" w:hAnsi="宋体"/>
          <w:sz w:val="24"/>
          <w:highlight w:val="none"/>
        </w:rPr>
      </w:pPr>
      <w:r>
        <w:rPr>
          <w:rFonts w:hint="eastAsia" w:ascii="宋体" w:hAnsi="宋体"/>
          <w:sz w:val="24"/>
          <w:highlight w:val="none"/>
        </w:rPr>
        <w:t>（二）</w:t>
      </w:r>
      <w:r>
        <w:rPr>
          <w:rFonts w:ascii="宋体" w:hAnsi="宋体"/>
          <w:sz w:val="24"/>
          <w:highlight w:val="none"/>
        </w:rPr>
        <w:t>有权要求</w:t>
      </w:r>
      <w:r>
        <w:rPr>
          <w:rFonts w:hint="eastAsia" w:ascii="宋体" w:hAnsi="宋体"/>
          <w:sz w:val="24"/>
          <w:highlight w:val="none"/>
        </w:rPr>
        <w:t>转</w:t>
      </w:r>
      <w:r>
        <w:rPr>
          <w:rFonts w:ascii="宋体" w:hAnsi="宋体"/>
          <w:sz w:val="24"/>
          <w:highlight w:val="none"/>
        </w:rPr>
        <w:t>让方提供更详细的资料或就有关问题做出答复</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（三）</w:t>
      </w:r>
      <w:r>
        <w:rPr>
          <w:rFonts w:ascii="宋体" w:hAnsi="宋体"/>
          <w:sz w:val="24"/>
          <w:highlight w:val="none"/>
        </w:rPr>
        <w:t>有权要求对标的进行实地考察或详细勘察</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（四）</w:t>
      </w:r>
      <w:r>
        <w:rPr>
          <w:rFonts w:ascii="宋体" w:hAnsi="宋体"/>
          <w:sz w:val="24"/>
          <w:highlight w:val="none"/>
        </w:rPr>
        <w:t>有权在本</w:t>
      </w:r>
      <w:r>
        <w:rPr>
          <w:rFonts w:hint="eastAsia" w:ascii="宋体" w:hAnsi="宋体"/>
          <w:sz w:val="24"/>
          <w:highlight w:val="none"/>
        </w:rPr>
        <w:t>所</w:t>
      </w:r>
      <w:r>
        <w:rPr>
          <w:rFonts w:ascii="宋体" w:hAnsi="宋体"/>
          <w:sz w:val="24"/>
          <w:highlight w:val="none"/>
        </w:rPr>
        <w:t>的主持下与转让方进行洽谈或谈判</w:t>
      </w:r>
      <w:r>
        <w:rPr>
          <w:rFonts w:hint="eastAsia" w:ascii="宋体" w:hAnsi="宋体"/>
          <w:sz w:val="24"/>
          <w:highlight w:val="none"/>
        </w:rPr>
        <w:t>，</w:t>
      </w:r>
      <w:r>
        <w:rPr>
          <w:rFonts w:ascii="宋体" w:hAnsi="宋体"/>
          <w:sz w:val="24"/>
          <w:highlight w:val="none"/>
        </w:rPr>
        <w:t>就本次</w:t>
      </w:r>
      <w:r>
        <w:rPr>
          <w:rFonts w:hint="eastAsia" w:ascii="宋体" w:hAnsi="宋体"/>
          <w:sz w:val="24"/>
          <w:highlight w:val="none"/>
          <w:lang w:val="en-US" w:eastAsia="zh-CN"/>
        </w:rPr>
        <w:t>标的</w:t>
      </w:r>
      <w:r>
        <w:rPr>
          <w:rFonts w:ascii="宋体" w:hAnsi="宋体"/>
          <w:sz w:val="24"/>
          <w:highlight w:val="none"/>
        </w:rPr>
        <w:t>转让的有关事项进行磋商,谈判内容均由本所进行笔录</w:t>
      </w:r>
      <w:r>
        <w:rPr>
          <w:rFonts w:hint="eastAsia" w:ascii="宋体" w:hAnsi="宋体"/>
          <w:sz w:val="24"/>
          <w:highlight w:val="none"/>
        </w:rPr>
        <w:t>，</w:t>
      </w:r>
      <w:r>
        <w:rPr>
          <w:rFonts w:ascii="宋体" w:hAnsi="宋体"/>
          <w:sz w:val="24"/>
          <w:highlight w:val="none"/>
        </w:rPr>
        <w:t>各有关当事人在谈判中的承诺均具有法律效力</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同时</w:t>
      </w:r>
      <w:r>
        <w:rPr>
          <w:rFonts w:hint="eastAsia" w:ascii="宋体" w:hAnsi="宋体"/>
          <w:sz w:val="24"/>
          <w:highlight w:val="none"/>
          <w:lang w:eastAsia="zh-CN"/>
        </w:rPr>
        <w:t>受让申请方</w:t>
      </w:r>
      <w:r>
        <w:rPr>
          <w:rFonts w:ascii="宋体" w:hAnsi="宋体"/>
          <w:sz w:val="24"/>
          <w:highlight w:val="none"/>
        </w:rPr>
        <w:t>负有如下义务</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（一）</w:t>
      </w:r>
      <w:r>
        <w:rPr>
          <w:rFonts w:ascii="宋体" w:hAnsi="宋体"/>
          <w:sz w:val="24"/>
          <w:highlight w:val="none"/>
        </w:rPr>
        <w:t>遵守国家有关法律,法规,规章及政策和本所交易规则的有关规定</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（二）</w:t>
      </w:r>
      <w:r>
        <w:rPr>
          <w:rFonts w:ascii="宋体" w:hAnsi="宋体"/>
          <w:sz w:val="24"/>
          <w:highlight w:val="none"/>
        </w:rPr>
        <w:t>对所了解到的本次标的转让涉及的商业机密保密</w:t>
      </w:r>
      <w:r>
        <w:rPr>
          <w:rFonts w:hint="eastAsia" w:ascii="宋体" w:hAnsi="宋体"/>
          <w:sz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textAlignment w:val="auto"/>
        <w:rPr>
          <w:rFonts w:hint="eastAsia" w:ascii="宋体" w:hAnsi="宋体"/>
          <w:color w:val="auto"/>
          <w:sz w:val="24"/>
        </w:rPr>
      </w:pP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八</w:t>
      </w:r>
      <w:r>
        <w:rPr>
          <w:rFonts w:hint="eastAsia" w:ascii="宋体" w:hAnsi="宋体"/>
          <w:color w:val="auto"/>
          <w:sz w:val="24"/>
        </w:rPr>
        <w:t>.本所有权从受让方交纳的保证金中扣除受让方应承担支付于本所的交易相关费用。</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九</w:t>
      </w:r>
      <w:r>
        <w:rPr>
          <w:rFonts w:hint="eastAsia" w:ascii="宋体" w:hAnsi="宋体"/>
          <w:color w:val="auto"/>
          <w:sz w:val="24"/>
        </w:rPr>
        <w:t>.退还保证金时，意向受让方、受让方需开具本单位正规财务收据，并加盖财务专用章。</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受让方为自然人的，在退保证金时，该自然人应将本所开具的保证金收据及本人收条、身份证复印件交本所财务部，以证明收到本所退还该自然人的保证金；本所相关部门还需出具请（付）款单。意向受让方、受让方为法人或其他组织的，须持贵单位出具的财务收据原件及本所出具的请（付）款单到本所财务部办理退款手续。</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十</w:t>
      </w:r>
      <w:r>
        <w:rPr>
          <w:rFonts w:hint="eastAsia" w:ascii="宋体" w:hAnsi="宋体"/>
          <w:color w:val="auto"/>
          <w:sz w:val="24"/>
        </w:rPr>
        <w:t>.本所收到单据后，即行办理退保工作。</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一</w:t>
      </w:r>
      <w:r>
        <w:rPr>
          <w:rFonts w:hint="eastAsia" w:ascii="宋体" w:hAnsi="宋体"/>
          <w:color w:val="auto"/>
          <w:sz w:val="24"/>
        </w:rPr>
        <w:t>.当出现下列情形时，本所可以意向受让方</w:t>
      </w:r>
      <w:bookmarkStart w:id="0" w:name="_GoBack"/>
      <w:bookmarkEnd w:id="0"/>
      <w:r>
        <w:rPr>
          <w:rFonts w:hint="eastAsia" w:ascii="宋体" w:hAnsi="宋体"/>
          <w:color w:val="auto"/>
          <w:sz w:val="24"/>
        </w:rPr>
        <w:t>交纳的保证金为限，在扣除交易服务费后，对保证金做出不予退还的决定：</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（1）意向受让方提供虚假、失实材料造成转让方或本所损失的；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（2）提出申请并交纳交易保证金后未按照项目信息披露内容参与后续交易的；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（3）</w:t>
      </w:r>
      <w:r>
        <w:rPr>
          <w:rFonts w:hint="eastAsia" w:ascii="宋体" w:hAnsi="宋体" w:cs="宋体"/>
          <w:color w:val="auto"/>
          <w:kern w:val="0"/>
          <w:sz w:val="24"/>
        </w:rPr>
        <w:t>进入网络竞价程序后，无竞买人进行报价，导致本次网络竞价无效的</w:t>
      </w:r>
      <w:r>
        <w:rPr>
          <w:rFonts w:hint="eastAsia" w:ascii="宋体" w:hAnsi="宋体"/>
          <w:color w:val="auto"/>
          <w:sz w:val="24"/>
        </w:rPr>
        <w:t>；</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（4）</w:t>
      </w:r>
      <w:r>
        <w:rPr>
          <w:rFonts w:hint="eastAsia" w:ascii="宋体" w:hAnsi="宋体"/>
          <w:color w:val="auto"/>
          <w:sz w:val="24"/>
          <w:highlight w:val="none"/>
        </w:rPr>
        <w:t>在</w:t>
      </w:r>
      <w:r>
        <w:rPr>
          <w:rFonts w:hint="eastAsia" w:ascii="宋体" w:hAnsi="宋体"/>
          <w:color w:val="auto"/>
          <w:sz w:val="24"/>
          <w:highlight w:val="none"/>
          <w:lang w:val="en-US" w:eastAsia="zh-CN"/>
        </w:rPr>
        <w:t>收到受让成交通知书或竞价结果通知单后</w:t>
      </w:r>
      <w:r>
        <w:rPr>
          <w:rFonts w:hint="eastAsia" w:ascii="宋体" w:hAnsi="宋体"/>
          <w:color w:val="auto"/>
          <w:sz w:val="24"/>
        </w:rPr>
        <w:t>，未按约定时限与转让方签订交易合同或未按合同约定足额支付交易价款的；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（5）意向受让方之间相互串通、影响公平竞争的；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（6）其他无故不配合交易或无故放弃受让行为的；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（7）信息披露内容约定不予退还保证金的其他情形；</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（8）意向受让方通过获取转让方或标的企业的商业秘密，侵害转让方合法权益的；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（9）意向受让方违反法律法规或相关规定给转让方造成损失的。</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color w:val="auto"/>
          <w:sz w:val="24"/>
        </w:rPr>
      </w:pPr>
      <w:r>
        <w:rPr>
          <w:rFonts w:hint="eastAsia" w:ascii="宋体" w:hAnsi="宋体"/>
          <w:color w:val="auto"/>
          <w:sz w:val="24"/>
        </w:rPr>
        <w:t>保证金金额不足以弥补转让方、本所损失的，利益受损方可以向有过错的意向受让方进行追偿。</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二</w:t>
      </w:r>
      <w:r>
        <w:rPr>
          <w:rFonts w:hint="eastAsia" w:ascii="宋体" w:hAnsi="宋体"/>
          <w:color w:val="auto"/>
          <w:sz w:val="24"/>
        </w:rPr>
        <w:t>、本所作出不予退还保证金决定，该保证金由本所暂行保管，交易双方对退还保证金有约定的，按照约定处置，未约定的或约定不明确的，可以向法院提起诉讼或向仲裁委申请仲裁。</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三</w:t>
      </w:r>
      <w:r>
        <w:rPr>
          <w:rFonts w:hint="eastAsia" w:ascii="宋体" w:hAnsi="宋体"/>
          <w:color w:val="auto"/>
          <w:sz w:val="24"/>
        </w:rPr>
        <w:t>、</w:t>
      </w:r>
      <w:r>
        <w:rPr>
          <w:rFonts w:hint="eastAsia" w:ascii="宋体" w:hAnsi="宋体"/>
          <w:color w:val="auto"/>
          <w:sz w:val="24"/>
          <w:lang w:val="zh-CN"/>
        </w:rPr>
        <w:t>任何一方向法院提起诉讼或是向仲裁委申请仲裁后，须将有关部门的受理意见以书面报至本所，本所将继续保管该保证金，待产权持有人凭相关司法机构作出的生效裁决，并通过司法执行程序向本所申请协助执行裁决要求支付补偿金时，本所将按照有效判决或裁定执行</w:t>
      </w:r>
      <w:r>
        <w:rPr>
          <w:rFonts w:hint="eastAsia" w:ascii="宋体" w:hAnsi="宋体"/>
          <w:color w:val="auto"/>
          <w:sz w:val="24"/>
        </w:rPr>
        <w:t>。</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本所不对退还保证金的结果做出任何保证和承诺。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四</w:t>
      </w:r>
      <w:r>
        <w:rPr>
          <w:rFonts w:hint="eastAsia" w:ascii="宋体" w:hAnsi="宋体"/>
          <w:color w:val="auto"/>
          <w:sz w:val="24"/>
        </w:rPr>
        <w:t>．如意向受让方对</w:t>
      </w:r>
      <w:r>
        <w:rPr>
          <w:rFonts w:ascii="宋体" w:hAnsi="宋体"/>
          <w:color w:val="auto"/>
          <w:sz w:val="24"/>
        </w:rPr>
        <w:t>上述</w:t>
      </w:r>
      <w:r>
        <w:rPr>
          <w:rFonts w:hint="eastAsia" w:ascii="宋体" w:hAnsi="宋体"/>
          <w:color w:val="auto"/>
          <w:sz w:val="24"/>
        </w:rPr>
        <w:t>须知有任何不明或异议，应事先以书面形式向本所提出并要求做出解释和澄清。</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注：上文中所提及部分名词定义：</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“本所”：系指贵州阳光产权交易所有限公司。</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 ：系指在贵州阳光产权交易所有限公司正式办理求购登记并按标的信息披露公告要求足额交纳保证金、提交相关资料的企业法人、自然人或其他组织。</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“受让方” ：系指标的项目的最终买受人。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ascii="宋体" w:hAnsi="宋体"/>
          <w:color w:val="auto"/>
          <w:sz w:val="24"/>
        </w:rPr>
        <w:t>如果</w:t>
      </w:r>
      <w:r>
        <w:rPr>
          <w:rFonts w:hint="eastAsia" w:ascii="宋体" w:hAnsi="宋体"/>
          <w:color w:val="auto"/>
          <w:sz w:val="24"/>
        </w:rPr>
        <w:t>意向受让方</w:t>
      </w:r>
      <w:r>
        <w:rPr>
          <w:rFonts w:ascii="宋体" w:hAnsi="宋体"/>
          <w:color w:val="auto"/>
          <w:sz w:val="24"/>
        </w:rPr>
        <w:t>对上述</w:t>
      </w:r>
      <w:r>
        <w:rPr>
          <w:rFonts w:hint="eastAsia" w:ascii="宋体" w:hAnsi="宋体"/>
          <w:color w:val="auto"/>
          <w:sz w:val="24"/>
        </w:rPr>
        <w:t>须知</w:t>
      </w:r>
      <w:r>
        <w:rPr>
          <w:rFonts w:ascii="宋体" w:hAnsi="宋体"/>
          <w:color w:val="auto"/>
          <w:sz w:val="24"/>
        </w:rPr>
        <w:t>已完全了解且无任何异议,</w:t>
      </w:r>
      <w:r>
        <w:rPr>
          <w:rFonts w:hint="eastAsia" w:ascii="宋体" w:hAnsi="宋体"/>
          <w:color w:val="auto"/>
          <w:sz w:val="24"/>
        </w:rPr>
        <w:t>同意遵守本须知的，请盖章或</w:t>
      </w:r>
      <w:r>
        <w:rPr>
          <w:rFonts w:ascii="宋体" w:hAnsi="宋体"/>
          <w:color w:val="auto"/>
          <w:sz w:val="24"/>
        </w:rPr>
        <w:t>签字确认。</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本须知一式两联，</w:t>
      </w:r>
      <w:r>
        <w:rPr>
          <w:rFonts w:hint="eastAsia" w:asciiTheme="minorEastAsia" w:hAnsiTheme="minorEastAsia"/>
          <w:color w:val="auto"/>
          <w:sz w:val="24"/>
        </w:rPr>
        <w:t>贵州阳光产权交易所有限公司</w:t>
      </w:r>
      <w:r>
        <w:rPr>
          <w:rFonts w:hint="eastAsia" w:ascii="宋体" w:hAnsi="宋体"/>
          <w:color w:val="auto"/>
          <w:sz w:val="24"/>
        </w:rPr>
        <w:t>和意向受让方各持一联。</w:t>
      </w:r>
    </w:p>
    <w:p>
      <w:pPr>
        <w:keepNext w:val="0"/>
        <w:keepLines w:val="0"/>
        <w:pageBreakBefore w:val="0"/>
        <w:widowControl w:val="0"/>
        <w:kinsoku/>
        <w:wordWrap/>
        <w:overflowPunct/>
        <w:topLinePunct w:val="0"/>
        <w:autoSpaceDE/>
        <w:autoSpaceDN/>
        <w:bidi w:val="0"/>
        <w:adjustRightInd/>
        <w:snapToGrid/>
        <w:spacing w:line="288" w:lineRule="auto"/>
        <w:ind w:left="3780" w:right="480" w:hanging="3780" w:hangingChars="1575"/>
        <w:textAlignment w:val="auto"/>
        <w:rPr>
          <w:rFonts w:ascii="宋体" w:hAnsi="宋体"/>
          <w:color w:val="auto"/>
          <w:sz w:val="24"/>
        </w:rPr>
      </w:pP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color w:val="000000" w:themeColor="text1"/>
        </w:rPr>
      </w:pPr>
    </w:p>
    <w:sectPr>
      <w:headerReference r:id="rId3" w:type="default"/>
      <w:pgSz w:w="11906" w:h="16838"/>
      <w:pgMar w:top="794" w:right="1418" w:bottom="794" w:left="1418"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6660" w:firstLineChars="3700"/>
      <w:jc w:val="both"/>
    </w:pPr>
    <w:r>
      <w:rPr>
        <w:rFonts w:hint="eastAsia"/>
      </w:rPr>
      <w:t>贵州阳光产权交易所有限公司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9A3DCD"/>
    <w:multiLevelType w:val="singleLevel"/>
    <w:tmpl w:val="2E9A3DCD"/>
    <w:lvl w:ilvl="0" w:tentative="0">
      <w:start w:val="6"/>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00040CED"/>
    <w:rsid w:val="000142D2"/>
    <w:rsid w:val="00040CED"/>
    <w:rsid w:val="0005283C"/>
    <w:rsid w:val="00074CBC"/>
    <w:rsid w:val="000920B8"/>
    <w:rsid w:val="000A2954"/>
    <w:rsid w:val="000C3044"/>
    <w:rsid w:val="000E53FD"/>
    <w:rsid w:val="00103707"/>
    <w:rsid w:val="001303FB"/>
    <w:rsid w:val="00130A54"/>
    <w:rsid w:val="00197A17"/>
    <w:rsid w:val="001C4CAB"/>
    <w:rsid w:val="001D345B"/>
    <w:rsid w:val="001F5B40"/>
    <w:rsid w:val="002178F7"/>
    <w:rsid w:val="00240DD3"/>
    <w:rsid w:val="00281B30"/>
    <w:rsid w:val="002F33E5"/>
    <w:rsid w:val="00310E53"/>
    <w:rsid w:val="0032628A"/>
    <w:rsid w:val="00372A6B"/>
    <w:rsid w:val="003C11B5"/>
    <w:rsid w:val="003D0218"/>
    <w:rsid w:val="003D1D1C"/>
    <w:rsid w:val="003E14F7"/>
    <w:rsid w:val="003E186F"/>
    <w:rsid w:val="004227CF"/>
    <w:rsid w:val="004355DD"/>
    <w:rsid w:val="004444A9"/>
    <w:rsid w:val="00453D53"/>
    <w:rsid w:val="00462467"/>
    <w:rsid w:val="00470039"/>
    <w:rsid w:val="004B2AE8"/>
    <w:rsid w:val="004C5AB4"/>
    <w:rsid w:val="004F24E2"/>
    <w:rsid w:val="00513C04"/>
    <w:rsid w:val="00576F6B"/>
    <w:rsid w:val="00590A2B"/>
    <w:rsid w:val="005F62A4"/>
    <w:rsid w:val="00612780"/>
    <w:rsid w:val="00612C00"/>
    <w:rsid w:val="006218C7"/>
    <w:rsid w:val="00657BBC"/>
    <w:rsid w:val="00661D24"/>
    <w:rsid w:val="00662477"/>
    <w:rsid w:val="00684857"/>
    <w:rsid w:val="006A01E6"/>
    <w:rsid w:val="007317EA"/>
    <w:rsid w:val="007556F9"/>
    <w:rsid w:val="00773F0D"/>
    <w:rsid w:val="007804E0"/>
    <w:rsid w:val="0079698D"/>
    <w:rsid w:val="00805469"/>
    <w:rsid w:val="00824CFB"/>
    <w:rsid w:val="008611C1"/>
    <w:rsid w:val="008D7AF1"/>
    <w:rsid w:val="00915AB7"/>
    <w:rsid w:val="009505E4"/>
    <w:rsid w:val="00974AEF"/>
    <w:rsid w:val="00993D0D"/>
    <w:rsid w:val="00996D04"/>
    <w:rsid w:val="009B05DD"/>
    <w:rsid w:val="009E1D87"/>
    <w:rsid w:val="00A34F76"/>
    <w:rsid w:val="00A41FEF"/>
    <w:rsid w:val="00A42F1D"/>
    <w:rsid w:val="00A83FBC"/>
    <w:rsid w:val="00AC40CD"/>
    <w:rsid w:val="00B0526A"/>
    <w:rsid w:val="00B16312"/>
    <w:rsid w:val="00B4391C"/>
    <w:rsid w:val="00B52A2B"/>
    <w:rsid w:val="00BA7894"/>
    <w:rsid w:val="00BB7385"/>
    <w:rsid w:val="00C203AC"/>
    <w:rsid w:val="00C82EF9"/>
    <w:rsid w:val="00D04633"/>
    <w:rsid w:val="00D20B70"/>
    <w:rsid w:val="00D3279C"/>
    <w:rsid w:val="00DC26DB"/>
    <w:rsid w:val="00DC634F"/>
    <w:rsid w:val="00DF3EB0"/>
    <w:rsid w:val="00DF4E9F"/>
    <w:rsid w:val="00E013C6"/>
    <w:rsid w:val="00E37881"/>
    <w:rsid w:val="00E82392"/>
    <w:rsid w:val="00E942BF"/>
    <w:rsid w:val="00EB53EF"/>
    <w:rsid w:val="00EF4FB4"/>
    <w:rsid w:val="00EF572A"/>
    <w:rsid w:val="00F376BE"/>
    <w:rsid w:val="00F55A3A"/>
    <w:rsid w:val="00F77359"/>
    <w:rsid w:val="00FB15BA"/>
    <w:rsid w:val="00FC130D"/>
    <w:rsid w:val="00FF4F88"/>
    <w:rsid w:val="03EB450E"/>
    <w:rsid w:val="08FB73B9"/>
    <w:rsid w:val="0AC0574D"/>
    <w:rsid w:val="0B174447"/>
    <w:rsid w:val="0CA00B4A"/>
    <w:rsid w:val="0CEE228A"/>
    <w:rsid w:val="0D1366B3"/>
    <w:rsid w:val="0E7911E4"/>
    <w:rsid w:val="0FDB1F93"/>
    <w:rsid w:val="1A616598"/>
    <w:rsid w:val="1E536A27"/>
    <w:rsid w:val="1E9B2DDE"/>
    <w:rsid w:val="275776A0"/>
    <w:rsid w:val="28F23214"/>
    <w:rsid w:val="297B0A40"/>
    <w:rsid w:val="2EF00296"/>
    <w:rsid w:val="2F3F6FBF"/>
    <w:rsid w:val="31B514C8"/>
    <w:rsid w:val="33D12A9F"/>
    <w:rsid w:val="37B41C9F"/>
    <w:rsid w:val="3C143788"/>
    <w:rsid w:val="3CAD73D1"/>
    <w:rsid w:val="3DBC3551"/>
    <w:rsid w:val="40483C94"/>
    <w:rsid w:val="40C86CED"/>
    <w:rsid w:val="44170F7C"/>
    <w:rsid w:val="44BD575E"/>
    <w:rsid w:val="45304A2C"/>
    <w:rsid w:val="45555902"/>
    <w:rsid w:val="571853A0"/>
    <w:rsid w:val="59BC1216"/>
    <w:rsid w:val="5D862E1D"/>
    <w:rsid w:val="62622C67"/>
    <w:rsid w:val="63A33DFA"/>
    <w:rsid w:val="695F024B"/>
    <w:rsid w:val="757F1759"/>
    <w:rsid w:val="7BE16849"/>
    <w:rsid w:val="7CA02438"/>
    <w:rsid w:val="7D8F383A"/>
    <w:rsid w:val="7F363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6"/>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link w:val="2"/>
    <w:autoRedefine/>
    <w:qFormat/>
    <w:uiPriority w:val="0"/>
    <w:rPr>
      <w:kern w:val="2"/>
      <w:sz w:val="18"/>
      <w:szCs w:val="18"/>
    </w:rPr>
  </w:style>
  <w:style w:type="paragraph" w:customStyle="1" w:styleId="7">
    <w:name w:val="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1918</Words>
  <Characters>1920</Characters>
  <Lines>12</Lines>
  <Paragraphs>3</Paragraphs>
  <TotalTime>0</TotalTime>
  <ScaleCrop>false</ScaleCrop>
  <LinksUpToDate>false</LinksUpToDate>
  <CharactersWithSpaces>1946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2019-07-30T09:03:00Z</dcterms:created>
  <dc:creator>杨静</dc:creator>
  <cp:lastModifiedBy>千年铬酸盐</cp:lastModifiedBy>
  <cp:lastPrinted>2016-02-17T01:32:00Z</cp:lastPrinted>
  <dcterms:modified xsi:type="dcterms:W3CDTF">2024-06-18T01:52:02Z</dcterms:modified>
  <dc:title>缴退保证金须知</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623C7C830CA440FEA8FAEF9C0DF96061</vt:lpwstr>
  </property>
</Properties>
</file>