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pPr>
        <w:spacing w:line="360" w:lineRule="auto"/>
        <w:ind w:firstLine="360" w:firstLineChars="150"/>
        <w:rPr>
          <w:rFonts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color w:val="auto"/>
          <w:sz w:val="24"/>
        </w:rPr>
      </w:pP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.当出现下列情形时，本所可以意向受让方交纳的保证金为限，在扣除交易服务费后，对保证金做出不予退还的决定：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FF0000"/>
          <w:sz w:val="24"/>
          <w:highlight w:val="none"/>
        </w:rPr>
        <w:t>在</w:t>
      </w:r>
      <w:r>
        <w:rPr>
          <w:rFonts w:hint="eastAsia" w:ascii="宋体" w:hAnsi="宋体"/>
          <w:color w:val="FF0000"/>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、本所作出不予退还保证金决定，该保证金由本所暂行保管，交易双方对退还保证金有约定的，按照约定处置，未约定的或约定不明确的，可以向法院提起诉讼或向仲裁委申请仲裁。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w:t>
      </w:r>
      <w:r>
        <w:rPr>
          <w:rFonts w:hint="eastAsia" w:ascii="宋体" w:hAnsi="宋体"/>
          <w:color w:val="auto"/>
          <w:sz w:val="24"/>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四</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bookmarkStart w:id="0" w:name="_GoBack"/>
      <w:bookmarkEnd w:id="0"/>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项目名称：</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lang w:eastAsia="zh-CN"/>
        </w:rPr>
        <w:t>受让申请方</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委托代理人：</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color w:val="000000" w:themeColor="text1"/>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A702728"/>
    <w:rsid w:val="2EF00296"/>
    <w:rsid w:val="2F3F6FBF"/>
    <w:rsid w:val="31B514C8"/>
    <w:rsid w:val="33D12A9F"/>
    <w:rsid w:val="37B41C9F"/>
    <w:rsid w:val="3C143788"/>
    <w:rsid w:val="3CAD73D1"/>
    <w:rsid w:val="3DBC3551"/>
    <w:rsid w:val="40483C94"/>
    <w:rsid w:val="40C86CED"/>
    <w:rsid w:val="44170F7C"/>
    <w:rsid w:val="44BD575E"/>
    <w:rsid w:val="45304A2C"/>
    <w:rsid w:val="45555902"/>
    <w:rsid w:val="571853A0"/>
    <w:rsid w:val="59BC1216"/>
    <w:rsid w:val="5D862E1D"/>
    <w:rsid w:val="62622C67"/>
    <w:rsid w:val="63A33DFA"/>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1918</Words>
  <Characters>1920</Characters>
  <Lines>12</Lines>
  <Paragraphs>3</Paragraphs>
  <TotalTime>0</TotalTime>
  <ScaleCrop>false</ScaleCrop>
  <LinksUpToDate>false</LinksUpToDate>
  <CharactersWithSpaces>1946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2024-05-21T01:22:12Z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623C7C830CA440FEA8FAEF9C0DF96061</vt:lpwstr>
  </property>
</Properties>
</file>