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方正小标宋简体" w:hAnsi="方正小标宋简体" w:eastAsia="方正小标宋简体" w:cs="方正小标宋简体"/>
          <w:color w:val="auto"/>
          <w:kern w:val="0"/>
          <w:highlight w:val="none"/>
        </w:rPr>
      </w:pPr>
      <w:r>
        <w:rPr>
          <w:rFonts w:hint="eastAsia" w:ascii="仿宋_GB2312" w:hAnsi="仿宋_GB2312" w:eastAsia="仿宋_GB2312" w:cs="仿宋_GB2312"/>
          <w:color w:val="auto"/>
          <w:sz w:val="28"/>
          <w:szCs w:val="28"/>
          <w:highlight w:val="none"/>
        </w:rPr>
        <w:t>合同编号：</w:t>
      </w:r>
      <w:r>
        <w:rPr>
          <w:rFonts w:hint="eastAsia" w:ascii="方正小标宋简体" w:hAnsi="方正小标宋简体" w:eastAsia="方正小标宋简体" w:cs="方正小标宋简体"/>
          <w:color w:val="auto"/>
          <w:kern w:val="0"/>
          <w:highlight w:val="none"/>
        </w:rPr>
        <w:t xml:space="preserve"> </w:t>
      </w:r>
    </w:p>
    <w:p>
      <w:pPr>
        <w:spacing w:before="100" w:beforeAutospacing="1" w:after="100" w:afterAutospacing="1" w:line="360" w:lineRule="auto"/>
        <w:ind w:right="577" w:firstLine="165" w:firstLineChars="59"/>
        <w:rPr>
          <w:rFonts w:asciiTheme="minorEastAsia" w:hAnsiTheme="minorEastAsia" w:eastAsiaTheme="minorEastAsia"/>
          <w:color w:val="auto"/>
          <w:sz w:val="28"/>
          <w:szCs w:val="28"/>
          <w:highlight w:val="none"/>
          <w:u w:val="single"/>
          <w:bdr w:val="single" w:color="auto" w:sz="4" w:space="0"/>
        </w:rPr>
      </w:pPr>
    </w:p>
    <w:p>
      <w:pPr>
        <w:spacing w:before="100" w:beforeAutospacing="1" w:after="100" w:afterAutospacing="1" w:line="360" w:lineRule="auto"/>
        <w:jc w:val="center"/>
        <w:rPr>
          <w:rFonts w:asciiTheme="minorEastAsia" w:hAnsiTheme="minorEastAsia" w:eastAsiaTheme="minorEastAsia"/>
          <w:color w:val="auto"/>
          <w:sz w:val="21"/>
          <w:szCs w:val="21"/>
          <w:highlight w:val="none"/>
        </w:rPr>
      </w:pPr>
    </w:p>
    <w:p>
      <w:pPr>
        <w:jc w:val="center"/>
        <w:rPr>
          <w:rFonts w:hint="eastAsia" w:ascii="方正小标宋简体" w:hAnsi="方正小标宋简体" w:eastAsia="方正小标宋简体" w:cs="方正小标宋简体"/>
          <w:b w:val="0"/>
          <w:bCs/>
          <w:color w:val="auto"/>
          <w:spacing w:val="20"/>
          <w:sz w:val="36"/>
          <w:szCs w:val="36"/>
          <w:highlight w:val="none"/>
        </w:rPr>
      </w:pPr>
      <w:r>
        <w:rPr>
          <w:rFonts w:hint="eastAsia" w:ascii="方正小标宋简体" w:hAnsi="方正小标宋简体" w:eastAsia="方正小标宋简体" w:cs="方正小标宋简体"/>
          <w:b w:val="0"/>
          <w:bCs/>
          <w:color w:val="auto"/>
          <w:spacing w:val="20"/>
          <w:sz w:val="36"/>
          <w:szCs w:val="36"/>
          <w:highlight w:val="none"/>
        </w:rPr>
        <w:t>贵阳轨道交通</w:t>
      </w:r>
      <w:r>
        <w:rPr>
          <w:rFonts w:hint="eastAsia" w:ascii="方正小标宋简体" w:hAnsi="方正小标宋简体" w:eastAsia="方正小标宋简体" w:cs="方正小标宋简体"/>
          <w:b w:val="0"/>
          <w:bCs/>
          <w:color w:val="auto"/>
          <w:spacing w:val="20"/>
          <w:sz w:val="36"/>
          <w:szCs w:val="36"/>
          <w:highlight w:val="none"/>
          <w:lang w:val="en-US" w:eastAsia="zh-CN"/>
        </w:rPr>
        <w:t>1</w:t>
      </w:r>
      <w:r>
        <w:rPr>
          <w:rFonts w:hint="eastAsia" w:ascii="方正小标宋简体" w:hAnsi="方正小标宋简体" w:eastAsia="方正小标宋简体" w:cs="方正小标宋简体"/>
          <w:b w:val="0"/>
          <w:bCs/>
          <w:color w:val="auto"/>
          <w:spacing w:val="20"/>
          <w:sz w:val="36"/>
          <w:szCs w:val="36"/>
          <w:highlight w:val="none"/>
          <w:lang w:eastAsia="zh-CN"/>
        </w:rPr>
        <w:t>号</w:t>
      </w:r>
      <w:r>
        <w:rPr>
          <w:rFonts w:hint="eastAsia" w:ascii="方正小标宋简体" w:hAnsi="方正小标宋简体" w:eastAsia="方正小标宋简体" w:cs="方正小标宋简体"/>
          <w:b w:val="0"/>
          <w:bCs/>
          <w:color w:val="auto"/>
          <w:spacing w:val="20"/>
          <w:sz w:val="36"/>
          <w:szCs w:val="36"/>
          <w:highlight w:val="none"/>
        </w:rPr>
        <w:t>线</w:t>
      </w:r>
      <w:r>
        <w:rPr>
          <w:rFonts w:hint="eastAsia" w:ascii="方正小标宋简体" w:hAnsi="方正小标宋简体" w:eastAsia="方正小标宋简体" w:cs="方正小标宋简体"/>
          <w:b w:val="0"/>
          <w:bCs/>
          <w:color w:val="auto"/>
          <w:spacing w:val="20"/>
          <w:sz w:val="36"/>
          <w:szCs w:val="36"/>
          <w:highlight w:val="none"/>
          <w:u w:val="none"/>
          <w:lang w:val="en-US" w:eastAsia="zh-CN"/>
        </w:rPr>
        <w:t>贵阳火车站</w:t>
      </w:r>
      <w:r>
        <w:rPr>
          <w:rFonts w:hint="eastAsia" w:ascii="方正小标宋简体" w:hAnsi="方正小标宋简体" w:eastAsia="方正小标宋简体" w:cs="方正小标宋简体"/>
          <w:b w:val="0"/>
          <w:bCs/>
          <w:color w:val="auto"/>
          <w:spacing w:val="20"/>
          <w:sz w:val="36"/>
          <w:szCs w:val="36"/>
          <w:highlight w:val="none"/>
        </w:rPr>
        <w:t>物业空间</w:t>
      </w:r>
      <w:r>
        <w:rPr>
          <w:rFonts w:hint="eastAsia" w:ascii="方正小标宋简体" w:hAnsi="方正小标宋简体" w:eastAsia="方正小标宋简体" w:cs="方正小标宋简体"/>
          <w:bCs/>
          <w:color w:val="auto"/>
          <w:spacing w:val="20"/>
          <w:kern w:val="2"/>
          <w:sz w:val="36"/>
          <w:szCs w:val="36"/>
          <w:highlight w:val="none"/>
          <w:lang w:val="en-US" w:eastAsia="zh-CN"/>
        </w:rPr>
        <w:t>使用权</w:t>
      </w:r>
    </w:p>
    <w:p>
      <w:pPr>
        <w:jc w:val="center"/>
        <w:rPr>
          <w:rFonts w:hint="eastAsia" w:ascii="方正小标宋简体" w:hAnsi="方正小标宋简体" w:eastAsia="方正小标宋简体" w:cs="方正小标宋简体"/>
          <w:b w:val="0"/>
          <w:bCs/>
          <w:color w:val="auto"/>
          <w:spacing w:val="20"/>
          <w:sz w:val="44"/>
          <w:szCs w:val="44"/>
          <w:highlight w:val="none"/>
          <w:lang w:eastAsia="zh-CN"/>
        </w:rPr>
      </w:pPr>
      <w:r>
        <w:rPr>
          <w:rFonts w:hint="eastAsia" w:ascii="方正小标宋简体" w:hAnsi="方正小标宋简体" w:eastAsia="方正小标宋简体" w:cs="方正小标宋简体"/>
          <w:b w:val="0"/>
          <w:bCs/>
          <w:color w:val="auto"/>
          <w:spacing w:val="20"/>
          <w:sz w:val="44"/>
          <w:szCs w:val="44"/>
          <w:highlight w:val="none"/>
        </w:rPr>
        <w:t>租赁合同</w:t>
      </w:r>
    </w:p>
    <w:p>
      <w:pPr>
        <w:jc w:val="center"/>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widowControl/>
        <w:jc w:val="left"/>
        <w:rPr>
          <w:rFonts w:hint="eastAsia" w:ascii="方正小标宋简体" w:hAnsi="方正小标宋简体" w:eastAsia="方正小标宋简体" w:cs="方正小标宋简体"/>
          <w:b w:val="0"/>
          <w:bCs/>
          <w:color w:val="auto"/>
          <w:spacing w:val="20"/>
          <w:sz w:val="21"/>
          <w:szCs w:val="21"/>
          <w:highlight w:val="none"/>
        </w:rPr>
      </w:pPr>
    </w:p>
    <w:p>
      <w:pPr>
        <w:jc w:val="center"/>
        <w:rPr>
          <w:rFonts w:hint="eastAsia" w:ascii="方正小标宋简体" w:hAnsi="方正小标宋简体" w:eastAsia="方正小标宋简体" w:cs="方正小标宋简体"/>
          <w:b w:val="0"/>
          <w:bCs/>
          <w:color w:val="auto"/>
          <w:sz w:val="30"/>
          <w:szCs w:val="30"/>
          <w:highlight w:val="none"/>
        </w:rPr>
      </w:pPr>
    </w:p>
    <w:p>
      <w:pPr>
        <w:ind w:firstLine="960" w:firstLineChars="320"/>
        <w:jc w:val="both"/>
        <w:rPr>
          <w:rFonts w:hint="default" w:ascii="方正小标宋简体" w:hAnsi="方正小标宋简体" w:eastAsia="方正小标宋简体" w:cs="方正小标宋简体"/>
          <w:b w:val="0"/>
          <w:bCs/>
          <w:color w:val="auto"/>
          <w:sz w:val="30"/>
          <w:szCs w:val="30"/>
          <w:highlight w:val="none"/>
          <w:lang w:val="en-US" w:eastAsia="zh-CN"/>
        </w:rPr>
      </w:pPr>
      <w:r>
        <w:rPr>
          <w:rFonts w:hint="eastAsia" w:ascii="方正小标宋简体" w:hAnsi="方正小标宋简体" w:eastAsia="方正小标宋简体" w:cs="方正小标宋简体"/>
          <w:b w:val="0"/>
          <w:bCs/>
          <w:color w:val="auto"/>
          <w:sz w:val="30"/>
          <w:szCs w:val="30"/>
          <w:highlight w:val="none"/>
          <w:lang w:eastAsia="zh-CN"/>
        </w:rPr>
        <w:t>甲方</w:t>
      </w:r>
      <w:r>
        <w:rPr>
          <w:rFonts w:hint="eastAsia" w:ascii="方正小标宋简体" w:hAnsi="方正小标宋简体" w:eastAsia="方正小标宋简体" w:cs="方正小标宋简体"/>
          <w:b w:val="0"/>
          <w:bCs/>
          <w:color w:val="auto"/>
          <w:sz w:val="30"/>
          <w:szCs w:val="30"/>
          <w:highlight w:val="none"/>
        </w:rPr>
        <w:t>：</w:t>
      </w:r>
      <w:r>
        <w:rPr>
          <w:rFonts w:hint="eastAsia" w:ascii="方正小标宋简体" w:hAnsi="方正小标宋简体" w:eastAsia="方正小标宋简体" w:cs="方正小标宋简体"/>
          <w:b w:val="0"/>
          <w:bCs/>
          <w:color w:val="auto"/>
          <w:sz w:val="30"/>
          <w:szCs w:val="30"/>
          <w:highlight w:val="none"/>
          <w:lang w:val="en-US" w:eastAsia="zh-CN"/>
        </w:rPr>
        <w:t>贵阳市公共交通投资运营集团有限公司</w:t>
      </w:r>
    </w:p>
    <w:p>
      <w:pPr>
        <w:ind w:firstLine="960" w:firstLineChars="320"/>
        <w:rPr>
          <w:rFonts w:hint="eastAsia" w:ascii="方正小标宋简体" w:hAnsi="方正小标宋简体" w:eastAsia="方正小标宋简体" w:cs="方正小标宋简体"/>
          <w:b w:val="0"/>
          <w:bCs/>
          <w:color w:val="auto"/>
          <w:sz w:val="30"/>
          <w:szCs w:val="30"/>
          <w:highlight w:val="none"/>
        </w:rPr>
      </w:pPr>
      <w:r>
        <w:rPr>
          <w:rFonts w:hint="eastAsia" w:ascii="方正小标宋简体" w:hAnsi="方正小标宋简体" w:eastAsia="方正小标宋简体" w:cs="方正小标宋简体"/>
          <w:b w:val="0"/>
          <w:bCs/>
          <w:color w:val="auto"/>
          <w:sz w:val="30"/>
          <w:szCs w:val="30"/>
          <w:highlight w:val="none"/>
          <w:lang w:eastAsia="zh-CN"/>
        </w:rPr>
        <w:t>乙方</w:t>
      </w:r>
      <w:r>
        <w:rPr>
          <w:rFonts w:hint="eastAsia" w:ascii="方正小标宋简体" w:hAnsi="方正小标宋简体" w:eastAsia="方正小标宋简体" w:cs="方正小标宋简体"/>
          <w:b w:val="0"/>
          <w:bCs/>
          <w:color w:val="auto"/>
          <w:sz w:val="30"/>
          <w:szCs w:val="30"/>
          <w:highlight w:val="none"/>
        </w:rPr>
        <w:t>：</w:t>
      </w:r>
    </w:p>
    <w:p>
      <w:pPr>
        <w:jc w:val="center"/>
        <w:rPr>
          <w:rFonts w:hint="eastAsia" w:ascii="方正小标宋简体" w:hAnsi="方正小标宋简体" w:eastAsia="方正小标宋简体" w:cs="方正小标宋简体"/>
          <w:b w:val="0"/>
          <w:bCs/>
          <w:color w:val="auto"/>
          <w:sz w:val="30"/>
          <w:szCs w:val="30"/>
          <w:highlight w:val="none"/>
          <w:lang w:val="en-US" w:eastAsia="zh-CN"/>
        </w:rPr>
      </w:pPr>
      <w:r>
        <w:rPr>
          <w:rFonts w:hint="eastAsia" w:ascii="方正小标宋简体" w:hAnsi="方正小标宋简体" w:eastAsia="方正小标宋简体" w:cs="方正小标宋简体"/>
          <w:b w:val="0"/>
          <w:bCs/>
          <w:color w:val="auto"/>
          <w:sz w:val="30"/>
          <w:szCs w:val="30"/>
          <w:highlight w:val="none"/>
        </w:rPr>
        <w:t>202</w:t>
      </w:r>
      <w:r>
        <w:rPr>
          <w:rFonts w:hint="eastAsia" w:ascii="方正小标宋简体" w:hAnsi="方正小标宋简体" w:eastAsia="方正小标宋简体" w:cs="方正小标宋简体"/>
          <w:b w:val="0"/>
          <w:bCs/>
          <w:color w:val="auto"/>
          <w:sz w:val="30"/>
          <w:szCs w:val="30"/>
          <w:highlight w:val="none"/>
          <w:lang w:val="en-US" w:eastAsia="zh-CN"/>
        </w:rPr>
        <w:t>4</w:t>
      </w:r>
      <w:bookmarkStart w:id="57" w:name="_GoBack"/>
      <w:bookmarkEnd w:id="57"/>
      <w:r>
        <w:rPr>
          <w:rFonts w:hint="eastAsia" w:ascii="方正小标宋简体" w:hAnsi="方正小标宋简体" w:eastAsia="方正小标宋简体" w:cs="方正小标宋简体"/>
          <w:b w:val="0"/>
          <w:bCs/>
          <w:color w:val="auto"/>
          <w:sz w:val="30"/>
          <w:szCs w:val="30"/>
          <w:highlight w:val="none"/>
        </w:rPr>
        <w:t>年</w:t>
      </w:r>
      <w:r>
        <w:rPr>
          <w:rFonts w:hint="eastAsia" w:ascii="方正小标宋简体" w:hAnsi="方正小标宋简体" w:eastAsia="方正小标宋简体" w:cs="方正小标宋简体"/>
          <w:b w:val="0"/>
          <w:bCs/>
          <w:color w:val="auto"/>
          <w:sz w:val="30"/>
          <w:szCs w:val="30"/>
          <w:highlight w:val="none"/>
          <w:lang w:val="en-US" w:eastAsia="zh-CN"/>
        </w:rPr>
        <w:t xml:space="preserve"> </w:t>
      </w:r>
      <w:r>
        <w:rPr>
          <w:rFonts w:hint="eastAsia" w:ascii="方正小标宋简体" w:hAnsi="方正小标宋简体" w:eastAsia="方正小标宋简体" w:cs="方正小标宋简体"/>
          <w:b w:val="0"/>
          <w:bCs/>
          <w:color w:val="auto"/>
          <w:sz w:val="30"/>
          <w:szCs w:val="30"/>
          <w:highlight w:val="none"/>
        </w:rPr>
        <w:t>月</w:t>
      </w:r>
      <w:r>
        <w:rPr>
          <w:rFonts w:hint="eastAsia" w:ascii="方正小标宋简体" w:hAnsi="方正小标宋简体" w:eastAsia="方正小标宋简体" w:cs="方正小标宋简体"/>
          <w:b w:val="0"/>
          <w:bCs/>
          <w:color w:val="auto"/>
          <w:sz w:val="30"/>
          <w:szCs w:val="30"/>
          <w:highlight w:val="none"/>
          <w:lang w:val="en-US" w:eastAsia="zh-CN"/>
        </w:rPr>
        <w:t xml:space="preserve"> 日</w:t>
      </w:r>
    </w:p>
    <w:p>
      <w:pPr>
        <w:pStyle w:val="7"/>
        <w:spacing w:line="360" w:lineRule="auto"/>
        <w:rPr>
          <w:rFonts w:ascii="仿宋_GB2312" w:hAnsi="宋体" w:eastAsia="仿宋_GB2312"/>
          <w:b/>
          <w:color w:val="auto"/>
          <w:sz w:val="28"/>
          <w:szCs w:val="28"/>
          <w:highlight w:val="none"/>
        </w:rPr>
        <w:sectPr>
          <w:pgSz w:w="11906" w:h="16838"/>
          <w:pgMar w:top="1440" w:right="1080" w:bottom="1440" w:left="1080" w:header="851" w:footer="992" w:gutter="0"/>
          <w:pgNumType w:start="1"/>
          <w:cols w:space="0" w:num="1"/>
          <w:docGrid w:type="lines" w:linePitch="312" w:charSpace="0"/>
        </w:sect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sectPr>
          <w:pgSz w:w="11906" w:h="16838"/>
          <w:pgMar w:top="1440" w:right="1080" w:bottom="1440" w:left="1080" w:header="851" w:footer="992" w:gutter="0"/>
          <w:pgNumType w:start="1"/>
          <w:cols w:space="0" w:num="1"/>
          <w:docGrid w:type="lines" w:linePitch="312" w:charSpace="0"/>
        </w:sectPr>
      </w:pP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eastAsia="zh-CN"/>
        </w:rPr>
        <w:t>甲方</w:t>
      </w:r>
      <w:r>
        <w:rPr>
          <w:rFonts w:hint="eastAsia" w:ascii="仿宋_GB2312" w:hAnsi="宋体" w:eastAsia="仿宋_GB2312"/>
          <w:b/>
          <w:color w:val="auto"/>
          <w:sz w:val="28"/>
          <w:szCs w:val="28"/>
          <w:highlight w:val="none"/>
        </w:rPr>
        <w:t>（全称）：</w:t>
      </w:r>
    </w:p>
    <w:p>
      <w:pPr>
        <w:pStyle w:val="7"/>
        <w:spacing w:line="360" w:lineRule="auto"/>
        <w:rPr>
          <w:rFonts w:ascii="仿宋_GB2312" w:hAnsi="宋体" w:eastAsia="仿宋_GB2312"/>
          <w:b/>
          <w:color w:val="auto"/>
          <w:sz w:val="28"/>
          <w:szCs w:val="28"/>
          <w:highlight w:val="none"/>
        </w:rPr>
      </w:pPr>
      <w:r>
        <w:rPr>
          <w:rFonts w:ascii="仿宋_GB2312" w:hAnsi="宋体" w:eastAsia="仿宋_GB2312"/>
          <w:b/>
          <w:color w:val="auto"/>
          <w:sz w:val="28"/>
          <w:szCs w:val="28"/>
          <w:highlight w:val="none"/>
        </w:rPr>
        <w:t>法</w:t>
      </w:r>
      <w:r>
        <w:rPr>
          <w:rFonts w:hint="eastAsia" w:ascii="仿宋_GB2312" w:hAnsi="宋体" w:eastAsia="仿宋_GB2312"/>
          <w:b/>
          <w:color w:val="auto"/>
          <w:sz w:val="28"/>
          <w:szCs w:val="28"/>
          <w:highlight w:val="none"/>
        </w:rPr>
        <w:t>定代表</w:t>
      </w:r>
      <w:r>
        <w:rPr>
          <w:rFonts w:ascii="仿宋_GB2312" w:hAnsi="宋体" w:eastAsia="仿宋_GB2312"/>
          <w:b/>
          <w:color w:val="auto"/>
          <w:sz w:val="28"/>
          <w:szCs w:val="28"/>
          <w:highlight w:val="none"/>
        </w:rPr>
        <w:t>人：</w:t>
      </w: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eastAsia="zh-CN"/>
        </w:rPr>
        <w:t>甲方</w:t>
      </w:r>
      <w:r>
        <w:rPr>
          <w:rFonts w:ascii="仿宋_GB2312" w:hAnsi="宋体" w:eastAsia="仿宋_GB2312"/>
          <w:b/>
          <w:color w:val="auto"/>
          <w:sz w:val="28"/>
          <w:szCs w:val="28"/>
          <w:highlight w:val="none"/>
        </w:rPr>
        <w:t>证照名称：</w:t>
      </w:r>
      <w:r>
        <w:rPr>
          <w:rFonts w:hint="eastAsia" w:ascii="仿宋_GB2312" w:hAnsi="宋体" w:eastAsia="仿宋_GB2312"/>
          <w:b/>
          <w:color w:val="auto"/>
          <w:sz w:val="28"/>
          <w:szCs w:val="28"/>
          <w:highlight w:val="none"/>
        </w:rPr>
        <w:t>营业执照</w:t>
      </w: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eastAsia="zh-CN"/>
        </w:rPr>
        <w:t>甲方</w:t>
      </w:r>
      <w:r>
        <w:rPr>
          <w:rFonts w:hint="eastAsia" w:ascii="仿宋_GB2312" w:hAnsi="宋体" w:eastAsia="仿宋_GB2312"/>
          <w:b/>
          <w:color w:val="auto"/>
          <w:sz w:val="28"/>
          <w:szCs w:val="28"/>
          <w:highlight w:val="none"/>
        </w:rPr>
        <w:t>纳税人识别号</w:t>
      </w:r>
      <w:r>
        <w:rPr>
          <w:rFonts w:ascii="仿宋_GB2312" w:hAnsi="宋体" w:eastAsia="仿宋_GB2312"/>
          <w:b/>
          <w:color w:val="auto"/>
          <w:sz w:val="28"/>
          <w:szCs w:val="28"/>
          <w:highlight w:val="none"/>
        </w:rPr>
        <w:t>/统一社会信用代码：</w:t>
      </w:r>
    </w:p>
    <w:p>
      <w:pPr>
        <w:pStyle w:val="7"/>
        <w:spacing w:line="360" w:lineRule="auto"/>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住所：</w:t>
      </w:r>
    </w:p>
    <w:p>
      <w:pPr>
        <w:pStyle w:val="7"/>
        <w:spacing w:line="360" w:lineRule="auto"/>
        <w:rPr>
          <w:rFonts w:hint="default" w:ascii="仿宋_GB2312" w:hAnsi="宋体" w:eastAsia="仿宋_GB2312"/>
          <w:b/>
          <w:color w:val="auto"/>
          <w:sz w:val="28"/>
          <w:szCs w:val="28"/>
          <w:highlight w:val="none"/>
          <w:lang w:val="en-US" w:eastAsia="zh-CN"/>
        </w:rPr>
      </w:pPr>
      <w:r>
        <w:rPr>
          <w:rFonts w:hint="eastAsia" w:ascii="仿宋_GB2312" w:hAnsi="宋体" w:eastAsia="仿宋_GB2312"/>
          <w:b/>
          <w:color w:val="auto"/>
          <w:sz w:val="28"/>
          <w:szCs w:val="28"/>
          <w:highlight w:val="none"/>
          <w:lang w:val="en-US" w:eastAsia="zh-CN"/>
        </w:rPr>
        <w:t>电子邮箱：</w:t>
      </w: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eastAsia="zh-CN"/>
        </w:rPr>
        <w:t>乙方</w:t>
      </w:r>
      <w:r>
        <w:rPr>
          <w:rFonts w:hint="eastAsia" w:ascii="仿宋_GB2312" w:hAnsi="宋体" w:eastAsia="仿宋_GB2312"/>
          <w:b/>
          <w:color w:val="auto"/>
          <w:sz w:val="28"/>
          <w:szCs w:val="28"/>
          <w:highlight w:val="none"/>
        </w:rPr>
        <w:t>（全称）：</w:t>
      </w:r>
    </w:p>
    <w:p>
      <w:pPr>
        <w:pStyle w:val="7"/>
        <w:spacing w:line="360" w:lineRule="auto"/>
        <w:rPr>
          <w:rFonts w:ascii="仿宋_GB2312" w:hAnsi="宋体" w:eastAsia="仿宋_GB2312"/>
          <w:b/>
          <w:color w:val="auto"/>
          <w:sz w:val="28"/>
          <w:szCs w:val="28"/>
          <w:highlight w:val="none"/>
        </w:rPr>
      </w:pPr>
      <w:r>
        <w:rPr>
          <w:rFonts w:ascii="仿宋_GB2312" w:hAnsi="宋体" w:eastAsia="仿宋_GB2312"/>
          <w:b/>
          <w:color w:val="auto"/>
          <w:sz w:val="28"/>
          <w:szCs w:val="28"/>
          <w:highlight w:val="none"/>
        </w:rPr>
        <w:t>法</w:t>
      </w:r>
      <w:r>
        <w:rPr>
          <w:rFonts w:hint="eastAsia" w:ascii="仿宋_GB2312" w:hAnsi="宋体" w:eastAsia="仿宋_GB2312"/>
          <w:b/>
          <w:color w:val="auto"/>
          <w:sz w:val="28"/>
          <w:szCs w:val="28"/>
          <w:highlight w:val="none"/>
        </w:rPr>
        <w:t>定代表</w:t>
      </w:r>
      <w:r>
        <w:rPr>
          <w:rFonts w:ascii="仿宋_GB2312" w:hAnsi="宋体" w:eastAsia="仿宋_GB2312"/>
          <w:b/>
          <w:color w:val="auto"/>
          <w:sz w:val="28"/>
          <w:szCs w:val="28"/>
          <w:highlight w:val="none"/>
        </w:rPr>
        <w:t>人：</w:t>
      </w: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eastAsia="zh-CN"/>
        </w:rPr>
        <w:t>乙方</w:t>
      </w:r>
      <w:r>
        <w:rPr>
          <w:rFonts w:ascii="仿宋_GB2312" w:hAnsi="宋体" w:eastAsia="仿宋_GB2312"/>
          <w:b/>
          <w:color w:val="auto"/>
          <w:sz w:val="28"/>
          <w:szCs w:val="28"/>
          <w:highlight w:val="none"/>
        </w:rPr>
        <w:t>证照名称：</w:t>
      </w: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eastAsia="zh-CN"/>
        </w:rPr>
        <w:t>乙方</w:t>
      </w:r>
      <w:r>
        <w:rPr>
          <w:rFonts w:hint="eastAsia" w:ascii="仿宋_GB2312" w:hAnsi="宋体" w:eastAsia="仿宋_GB2312"/>
          <w:b/>
          <w:color w:val="auto"/>
          <w:sz w:val="28"/>
          <w:szCs w:val="28"/>
          <w:highlight w:val="none"/>
        </w:rPr>
        <w:t>纳税人识别号</w:t>
      </w:r>
      <w:r>
        <w:rPr>
          <w:rFonts w:ascii="仿宋_GB2312" w:hAnsi="宋体" w:eastAsia="仿宋_GB2312"/>
          <w:b/>
          <w:color w:val="auto"/>
          <w:sz w:val="28"/>
          <w:szCs w:val="28"/>
          <w:highlight w:val="none"/>
        </w:rPr>
        <w:t>/统一社会信用代码：</w:t>
      </w:r>
    </w:p>
    <w:p>
      <w:pPr>
        <w:pStyle w:val="7"/>
        <w:spacing w:line="360" w:lineRule="auto"/>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住所：</w:t>
      </w:r>
    </w:p>
    <w:p>
      <w:pPr>
        <w:pStyle w:val="7"/>
        <w:spacing w:line="360" w:lineRule="auto"/>
        <w:rPr>
          <w:rFonts w:hint="default" w:ascii="仿宋_GB2312" w:hAnsi="宋体" w:eastAsia="仿宋_GB2312"/>
          <w:b/>
          <w:color w:val="auto"/>
          <w:sz w:val="28"/>
          <w:szCs w:val="28"/>
          <w:highlight w:val="none"/>
          <w:lang w:val="en-US" w:eastAsia="zh-CN"/>
        </w:rPr>
      </w:pPr>
      <w:r>
        <w:rPr>
          <w:rFonts w:hint="eastAsia" w:ascii="仿宋_GB2312" w:hAnsi="宋体" w:eastAsia="仿宋_GB2312"/>
          <w:b/>
          <w:color w:val="auto"/>
          <w:sz w:val="28"/>
          <w:szCs w:val="28"/>
          <w:highlight w:val="none"/>
          <w:lang w:val="en-US" w:eastAsia="zh-CN"/>
        </w:rPr>
        <w:t>电子邮箱：</w:t>
      </w:r>
    </w:p>
    <w:p>
      <w:pPr>
        <w:overflowPunct w:val="0"/>
        <w:autoSpaceDE w:val="0"/>
        <w:ind w:firstLine="520" w:firstLineChars="186"/>
        <w:jc w:val="left"/>
        <w:rPr>
          <w:rFonts w:hint="eastAsia" w:ascii="仿宋_GB2312" w:hAnsi="宋体" w:eastAsia="仿宋_GB2312"/>
          <w:color w:val="auto"/>
          <w:sz w:val="28"/>
          <w:szCs w:val="28"/>
          <w:highlight w:val="none"/>
        </w:rPr>
      </w:pPr>
    </w:p>
    <w:p>
      <w:pPr>
        <w:overflowPunct w:val="0"/>
        <w:autoSpaceDE w:val="0"/>
        <w:ind w:firstLine="520" w:firstLineChars="186"/>
        <w:jc w:val="left"/>
        <w:rPr>
          <w:rFonts w:hint="eastAsia" w:ascii="仿宋_GB2312" w:hAnsi="宋体" w:eastAsia="仿宋_GB2312"/>
          <w:color w:val="auto"/>
          <w:sz w:val="28"/>
          <w:szCs w:val="28"/>
          <w:highlight w:val="none"/>
        </w:rPr>
      </w:pP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在充分理解轨道交通</w:t>
      </w:r>
      <w:r>
        <w:rPr>
          <w:rFonts w:hint="eastAsia" w:ascii="仿宋_GB2312" w:hAnsi="宋体" w:eastAsia="仿宋_GB2312"/>
          <w:color w:val="auto"/>
          <w:sz w:val="28"/>
          <w:szCs w:val="28"/>
          <w:highlight w:val="none"/>
          <w:lang w:val="en-US" w:eastAsia="zh-CN"/>
        </w:rPr>
        <w:t>1号线物业空间</w:t>
      </w:r>
      <w:r>
        <w:rPr>
          <w:rFonts w:hint="eastAsia" w:ascii="仿宋_GB2312" w:hAnsi="宋体" w:eastAsia="仿宋_GB2312"/>
          <w:color w:val="auto"/>
          <w:sz w:val="28"/>
          <w:szCs w:val="28"/>
          <w:highlight w:val="none"/>
        </w:rPr>
        <w:t>为城市轨道交通的衍生资源，具有地下</w:t>
      </w:r>
      <w:r>
        <w:rPr>
          <w:rFonts w:hint="eastAsia" w:ascii="仿宋_GB2312" w:hAnsi="宋体" w:eastAsia="仿宋_GB2312"/>
          <w:color w:val="auto"/>
          <w:sz w:val="28"/>
          <w:szCs w:val="28"/>
          <w:highlight w:val="none"/>
          <w:lang w:val="en-US" w:eastAsia="zh-CN"/>
        </w:rPr>
        <w:t>公益</w:t>
      </w:r>
      <w:r>
        <w:rPr>
          <w:rFonts w:hint="eastAsia" w:ascii="仿宋_GB2312" w:hAnsi="宋体" w:eastAsia="仿宋_GB2312"/>
          <w:color w:val="auto"/>
          <w:sz w:val="28"/>
          <w:szCs w:val="28"/>
          <w:highlight w:val="none"/>
        </w:rPr>
        <w:t>等特殊经营环境的前提下，自愿参加公开挂牌交易</w:t>
      </w:r>
      <w:r>
        <w:rPr>
          <w:rFonts w:hint="eastAsia" w:ascii="仿宋_GB2312" w:hAnsi="宋体" w:eastAsia="仿宋_GB2312"/>
          <w:color w:val="auto"/>
          <w:sz w:val="28"/>
          <w:szCs w:val="28"/>
          <w:highlight w:val="none"/>
          <w:lang w:val="en-US" w:eastAsia="zh-CN"/>
        </w:rPr>
        <w:t>竞价</w:t>
      </w:r>
      <w:r>
        <w:rPr>
          <w:rFonts w:hint="eastAsia" w:ascii="仿宋_GB2312" w:hAnsi="宋体" w:eastAsia="仿宋_GB2312"/>
          <w:color w:val="auto"/>
          <w:sz w:val="28"/>
          <w:szCs w:val="28"/>
          <w:highlight w:val="none"/>
        </w:rPr>
        <w:t>并依法获得成交。根据《中华人民共和国民法典》等法律法规规定，双方本着平等自愿、诚实信用的原则，就</w:t>
      </w:r>
      <w:r>
        <w:rPr>
          <w:rFonts w:hint="eastAsia" w:ascii="仿宋_GB2312" w:hAnsi="宋体" w:eastAsia="仿宋_GB2312"/>
          <w:color w:val="auto"/>
          <w:sz w:val="28"/>
          <w:szCs w:val="28"/>
          <w:highlight w:val="none"/>
          <w:lang w:val="en-US" w:eastAsia="zh-CN"/>
        </w:rPr>
        <w:t>1号线贵阳火车站</w:t>
      </w:r>
      <w:r>
        <w:rPr>
          <w:rFonts w:hint="eastAsia" w:ascii="仿宋_GB2312" w:hAnsi="宋体" w:eastAsia="仿宋_GB2312"/>
          <w:color w:val="auto"/>
          <w:sz w:val="28"/>
          <w:szCs w:val="28"/>
          <w:highlight w:val="none"/>
        </w:rPr>
        <w:t>物业空间</w:t>
      </w:r>
      <w:r>
        <w:rPr>
          <w:rFonts w:hint="eastAsia" w:ascii="仿宋_GB2312" w:hAnsi="宋体" w:eastAsia="仿宋_GB2312"/>
          <w:color w:val="auto"/>
          <w:sz w:val="28"/>
          <w:szCs w:val="28"/>
          <w:highlight w:val="none"/>
          <w:lang w:val="en-US" w:eastAsia="zh-CN"/>
        </w:rPr>
        <w:t>使用权</w:t>
      </w:r>
      <w:r>
        <w:rPr>
          <w:rFonts w:hint="eastAsia" w:ascii="仿宋_GB2312" w:hAnsi="宋体" w:eastAsia="仿宋_GB2312"/>
          <w:color w:val="auto"/>
          <w:sz w:val="28"/>
          <w:szCs w:val="28"/>
          <w:highlight w:val="none"/>
        </w:rPr>
        <w:t>租赁事宜签订本合同，以资双方共同遵守。</w:t>
      </w:r>
    </w:p>
    <w:p>
      <w:pPr>
        <w:autoSpaceDE w:val="0"/>
        <w:autoSpaceDN w:val="0"/>
        <w:adjustRightInd w:val="0"/>
        <w:ind w:firstLine="562" w:firstLineChars="200"/>
        <w:jc w:val="left"/>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 xml:space="preserve">第一条 </w:t>
      </w:r>
      <w:r>
        <w:rPr>
          <w:rFonts w:ascii="黑体" w:hAnsi="黑体" w:eastAsia="黑体" w:cs="黑体"/>
          <w:b/>
          <w:color w:val="auto"/>
          <w:sz w:val="28"/>
          <w:szCs w:val="28"/>
          <w:highlight w:val="none"/>
        </w:rPr>
        <w:t>术语定义</w:t>
      </w:r>
    </w:p>
    <w:p>
      <w:pPr>
        <w:autoSpaceDE w:val="0"/>
        <w:autoSpaceDN w:val="0"/>
        <w:adjustRightInd w:val="0"/>
        <w:ind w:firstLine="478" w:firstLineChars="171"/>
        <w:jc w:val="left"/>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1.1 定义</w:t>
      </w:r>
    </w:p>
    <w:p>
      <w:pPr>
        <w:autoSpaceDE w:val="0"/>
        <w:autoSpaceDN w:val="0"/>
        <w:adjustRightInd w:val="0"/>
        <w:ind w:firstLine="478" w:firstLineChars="171"/>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除非另有说明或约定，本合同中下述用语具有以下特定的含义：</w:t>
      </w:r>
    </w:p>
    <w:tbl>
      <w:tblPr>
        <w:tblStyle w:val="14"/>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7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785" w:type="dxa"/>
            <w:tcBorders>
              <w:top w:val="double" w:color="auto" w:sz="4" w:space="0"/>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本合同</w:t>
            </w:r>
          </w:p>
        </w:tc>
        <w:tc>
          <w:tcPr>
            <w:tcW w:w="7641" w:type="dxa"/>
            <w:tcBorders>
              <w:top w:val="double" w:color="auto" w:sz="4" w:space="0"/>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w:t>
            </w:r>
            <w:r>
              <w:rPr>
                <w:rFonts w:hint="eastAsia" w:ascii="仿宋_GB2312" w:hAnsi="仿宋_GB2312" w:eastAsia="仿宋_GB2312" w:cs="仿宋_GB2312"/>
                <w:color w:val="auto"/>
                <w:sz w:val="28"/>
                <w:szCs w:val="28"/>
                <w:highlight w:val="none"/>
                <w:lang w:eastAsia="zh-CN"/>
              </w:rPr>
              <w:t>甲方</w:t>
            </w:r>
            <w:r>
              <w:rPr>
                <w:rFonts w:hint="eastAsia" w:ascii="仿宋_GB2312" w:hAnsi="仿宋_GB2312" w:eastAsia="仿宋_GB2312" w:cs="仿宋_GB2312"/>
                <w:color w:val="auto"/>
                <w:sz w:val="28"/>
                <w:szCs w:val="28"/>
                <w:highlight w:val="none"/>
              </w:rPr>
              <w:t>与</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之间签订的《贵阳轨道</w:t>
            </w:r>
            <w:r>
              <w:rPr>
                <w:rFonts w:ascii="仿宋_GB2312" w:hAnsi="仿宋_GB2312" w:eastAsia="仿宋_GB2312" w:cs="仿宋_GB2312"/>
                <w:color w:val="auto"/>
                <w:sz w:val="28"/>
                <w:szCs w:val="28"/>
                <w:highlight w:val="none"/>
              </w:rPr>
              <w:t>交通</w:t>
            </w:r>
            <w:r>
              <w:rPr>
                <w:rFonts w:hint="eastAsia" w:ascii="仿宋_GB2312" w:hAnsi="仿宋_GB2312" w:eastAsia="仿宋_GB2312" w:cs="仿宋_GB2312"/>
                <w:color w:val="auto"/>
                <w:sz w:val="28"/>
                <w:szCs w:val="28"/>
                <w:highlight w:val="none"/>
                <w:lang w:eastAsia="zh-CN"/>
              </w:rPr>
              <w:t>1号线</w:t>
            </w:r>
            <w:r>
              <w:rPr>
                <w:rFonts w:hint="eastAsia" w:ascii="仿宋_GB2312" w:hAnsi="仿宋_GB2312" w:eastAsia="仿宋_GB2312" w:cs="仿宋_GB2312"/>
                <w:color w:val="auto"/>
                <w:sz w:val="28"/>
                <w:szCs w:val="28"/>
                <w:highlight w:val="none"/>
                <w:lang w:val="en-US" w:eastAsia="zh-CN"/>
              </w:rPr>
              <w:t>贵阳火车站</w:t>
            </w:r>
            <w:r>
              <w:rPr>
                <w:rFonts w:hint="eastAsia" w:ascii="仿宋_GB2312" w:hAnsi="仿宋_GB2312" w:eastAsia="仿宋_GB2312" w:cs="仿宋_GB2312"/>
                <w:color w:val="auto"/>
                <w:sz w:val="28"/>
                <w:szCs w:val="28"/>
                <w:highlight w:val="none"/>
              </w:rPr>
              <w:t>物业空间</w:t>
            </w:r>
            <w:r>
              <w:rPr>
                <w:rFonts w:hint="eastAsia" w:ascii="仿宋_GB2312" w:hAnsi="仿宋_GB2312" w:eastAsia="仿宋_GB2312" w:cs="仿宋_GB2312"/>
                <w:color w:val="auto"/>
                <w:sz w:val="28"/>
                <w:szCs w:val="28"/>
                <w:highlight w:val="none"/>
                <w:lang w:eastAsia="zh-CN"/>
              </w:rPr>
              <w:t>使用权</w:t>
            </w:r>
            <w:r>
              <w:rPr>
                <w:rFonts w:hint="eastAsia" w:ascii="仿宋_GB2312" w:hAnsi="仿宋_GB2312" w:eastAsia="仿宋_GB2312" w:cs="仿宋_GB2312"/>
                <w:color w:val="auto"/>
                <w:sz w:val="28"/>
                <w:szCs w:val="28"/>
                <w:highlight w:val="none"/>
              </w:rPr>
              <w:t>租赁合同》及附件，以及日后可能签订的任何补充修改协议和附件，上述每一文件均被视为本合同。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甲方</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sz w:val="28"/>
                <w:szCs w:val="28"/>
              </w:rPr>
              <w:t>指</w:t>
            </w:r>
            <w:r>
              <w:rPr>
                <w:rFonts w:hint="eastAsia" w:ascii="仿宋_GB2312" w:hAnsi="仿宋_GB2312" w:eastAsia="仿宋_GB2312" w:cs="仿宋_GB2312"/>
                <w:sz w:val="28"/>
                <w:szCs w:val="28"/>
                <w:lang w:eastAsia="zh-CN"/>
              </w:rPr>
              <w:t>贵阳市公共交通投资运营集团有限公司</w:t>
            </w: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乙方</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指本次出租标的物的承租主体。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jc w:val="center"/>
              <w:rPr>
                <w:rFonts w:ascii="仿宋_GB2312" w:hAnsi="仿宋_GB2312" w:eastAsia="仿宋_GB2312" w:cs="仿宋_GB2312"/>
                <w:strike/>
                <w:color w:val="auto"/>
                <w:sz w:val="28"/>
                <w:szCs w:val="28"/>
                <w:highlight w:val="none"/>
              </w:rPr>
            </w:pPr>
            <w:r>
              <w:rPr>
                <w:rFonts w:hint="eastAsia" w:ascii="仿宋_GB2312" w:hAnsi="仿宋_GB2312" w:eastAsia="仿宋_GB2312" w:cs="仿宋_GB2312"/>
                <w:color w:val="auto"/>
                <w:sz w:val="28"/>
                <w:szCs w:val="28"/>
                <w:highlight w:val="none"/>
              </w:rPr>
              <w:t>出租标的</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strike/>
                <w:color w:val="auto"/>
                <w:sz w:val="28"/>
                <w:szCs w:val="28"/>
                <w:highlight w:val="none"/>
              </w:rPr>
            </w:pPr>
            <w:r>
              <w:rPr>
                <w:rFonts w:hint="eastAsia" w:ascii="仿宋_GB2312" w:hAnsi="仿宋_GB2312" w:eastAsia="仿宋_GB2312" w:cs="仿宋_GB2312"/>
                <w:color w:val="auto"/>
                <w:sz w:val="28"/>
                <w:szCs w:val="28"/>
                <w:highlight w:val="none"/>
              </w:rPr>
              <w:t>贵阳轨道交通</w:t>
            </w:r>
            <w:r>
              <w:rPr>
                <w:rFonts w:hint="eastAsia" w:ascii="仿宋_GB2312" w:hAnsi="仿宋_GB2312" w:eastAsia="仿宋_GB2312" w:cs="仿宋_GB2312"/>
                <w:color w:val="auto"/>
                <w:sz w:val="28"/>
                <w:szCs w:val="28"/>
                <w:highlight w:val="none"/>
                <w:lang w:eastAsia="zh-CN"/>
              </w:rPr>
              <w:t>1号线</w:t>
            </w:r>
            <w:r>
              <w:rPr>
                <w:rFonts w:hint="eastAsia" w:ascii="仿宋_GB2312" w:hAnsi="仿宋_GB2312" w:eastAsia="仿宋_GB2312" w:cs="仿宋_GB2312"/>
                <w:color w:val="auto"/>
                <w:sz w:val="28"/>
                <w:szCs w:val="28"/>
                <w:highlight w:val="none"/>
                <w:lang w:val="en-US" w:eastAsia="zh-CN"/>
              </w:rPr>
              <w:t>贵阳火车站</w:t>
            </w:r>
            <w:r>
              <w:rPr>
                <w:rFonts w:hint="eastAsia" w:ascii="仿宋_GB2312" w:hAnsi="仿宋_GB2312" w:eastAsia="仿宋_GB2312" w:cs="仿宋_GB2312"/>
                <w:color w:val="auto"/>
                <w:sz w:val="28"/>
                <w:szCs w:val="28"/>
                <w:highlight w:val="none"/>
              </w:rPr>
              <w:t>物业空间</w:t>
            </w:r>
            <w:r>
              <w:rPr>
                <w:rFonts w:hint="eastAsia" w:ascii="仿宋_GB2312" w:hAnsi="仿宋_GB2312" w:eastAsia="仿宋_GB2312" w:cs="仿宋_GB2312"/>
                <w:color w:val="auto"/>
                <w:sz w:val="28"/>
                <w:szCs w:val="28"/>
                <w:highlight w:val="none"/>
                <w:lang w:val="en-US" w:eastAsia="zh-CN"/>
              </w:rPr>
              <w:t>使用权</w:t>
            </w:r>
            <w:r>
              <w:rPr>
                <w:rFonts w:hint="eastAsia" w:ascii="仿宋_GB2312" w:hAnsi="仿宋_GB2312" w:eastAsia="仿宋_GB2312" w:cs="仿宋_GB2312"/>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物业空间</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2"/>
                <w:sz w:val="28"/>
                <w:szCs w:val="28"/>
                <w:highlight w:val="none"/>
              </w:rPr>
              <w:t>指贵阳城市轨道交通车站、隧道区间、车辆段、停车场、OCC、主变电所等结构</w:t>
            </w:r>
            <w:r>
              <w:rPr>
                <w:rFonts w:hint="eastAsia" w:ascii="仿宋_GB2312" w:hAnsi="仿宋_GB2312" w:eastAsia="仿宋_GB2312" w:cs="仿宋_GB2312"/>
                <w:color w:val="auto"/>
                <w:kern w:val="2"/>
                <w:sz w:val="28"/>
                <w:szCs w:val="28"/>
                <w:highlight w:val="none"/>
                <w:lang w:val="en-US" w:eastAsia="zh-CN"/>
              </w:rPr>
              <w:t>或</w:t>
            </w:r>
            <w:r>
              <w:rPr>
                <w:rFonts w:hint="eastAsia" w:ascii="仿宋_GB2312" w:hAnsi="仿宋_GB2312" w:eastAsia="仿宋_GB2312" w:cs="仿宋_GB2312"/>
                <w:color w:val="auto"/>
                <w:kern w:val="2"/>
                <w:sz w:val="28"/>
                <w:szCs w:val="28"/>
                <w:highlight w:val="none"/>
              </w:rPr>
              <w:t>相邻区域</w:t>
            </w:r>
            <w:r>
              <w:rPr>
                <w:rFonts w:hint="eastAsia" w:ascii="仿宋_GB2312" w:hAnsi="仿宋_GB2312" w:eastAsia="仿宋_GB2312" w:cs="仿宋_GB2312"/>
                <w:color w:val="auto"/>
                <w:kern w:val="2"/>
                <w:sz w:val="28"/>
                <w:szCs w:val="28"/>
                <w:highlight w:val="none"/>
                <w:lang w:val="en-US" w:eastAsia="zh-CN"/>
              </w:rPr>
              <w:t>内</w:t>
            </w:r>
            <w:r>
              <w:rPr>
                <w:rFonts w:hint="eastAsia" w:ascii="仿宋_GB2312" w:hAnsi="仿宋_GB2312" w:eastAsia="仿宋_GB2312" w:cs="仿宋_GB2312"/>
                <w:color w:val="auto"/>
                <w:kern w:val="2"/>
                <w:sz w:val="28"/>
                <w:szCs w:val="28"/>
                <w:highlight w:val="none"/>
              </w:rPr>
              <w:t>可用于商业经营的大型空间。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总建筑</w:t>
            </w:r>
            <w:r>
              <w:rPr>
                <w:rFonts w:hint="eastAsia" w:ascii="仿宋_GB2312" w:hAnsi="仿宋_GB2312" w:eastAsia="仿宋_GB2312" w:cs="仿宋_GB2312"/>
                <w:color w:val="auto"/>
                <w:sz w:val="28"/>
                <w:szCs w:val="28"/>
                <w:highlight w:val="none"/>
              </w:rPr>
              <w:t>面积</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b w:val="0"/>
                <w:bCs/>
                <w:sz w:val="28"/>
                <w:szCs w:val="28"/>
                <w:lang w:val="en-US" w:eastAsia="zh-CN"/>
              </w:rPr>
              <w:t>物业空间的总建筑面积约3327.83平方米（即物业空间结构内围合的闭合曲线面积，包含可用于商业经营的空间、配套场地、内部设备设施用房、公共走道、出入口通道及用于消防疏散的下沉式广场等面积）。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交付日</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向</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交付标的物之日</w:t>
            </w:r>
            <w:r>
              <w:rPr>
                <w:rFonts w:hint="eastAsia" w:ascii="仿宋_GB2312" w:hAnsi="仿宋_GB2312" w:eastAsia="仿宋_GB2312" w:cs="仿宋_GB2312"/>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经营准备期</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是指用于</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进行</w:t>
            </w:r>
            <w:r>
              <w:rPr>
                <w:rFonts w:hint="eastAsia" w:ascii="仿宋_GB2312" w:hAnsi="仿宋_GB2312" w:eastAsia="仿宋_GB2312" w:cs="仿宋_GB2312"/>
                <w:color w:val="auto"/>
                <w:kern w:val="0"/>
                <w:sz w:val="28"/>
                <w:szCs w:val="28"/>
                <w:highlight w:val="none"/>
              </w:rPr>
              <w:t>物业空间后续工程建设、装饰装修、</w:t>
            </w:r>
            <w:r>
              <w:rPr>
                <w:rFonts w:hint="eastAsia" w:ascii="仿宋_GB2312" w:hAnsi="仿宋_GB2312" w:eastAsia="仿宋_GB2312" w:cs="仿宋_GB2312"/>
                <w:color w:val="auto"/>
                <w:sz w:val="28"/>
                <w:szCs w:val="28"/>
                <w:highlight w:val="none"/>
              </w:rPr>
              <w:t>设备设施</w:t>
            </w:r>
            <w:r>
              <w:rPr>
                <w:rFonts w:hint="eastAsia" w:ascii="仿宋_GB2312" w:hAnsi="仿宋_GB2312" w:eastAsia="仿宋_GB2312" w:cs="仿宋_GB2312"/>
                <w:color w:val="auto"/>
                <w:kern w:val="0"/>
                <w:sz w:val="28"/>
                <w:szCs w:val="28"/>
                <w:highlight w:val="none"/>
              </w:rPr>
              <w:t>安装，相关行政审批</w:t>
            </w:r>
            <w:r>
              <w:rPr>
                <w:rFonts w:hint="eastAsia" w:ascii="仿宋_GB2312" w:hAnsi="仿宋_GB2312" w:eastAsia="仿宋_GB2312" w:cs="仿宋_GB2312"/>
                <w:color w:val="auto"/>
                <w:sz w:val="28"/>
                <w:szCs w:val="28"/>
                <w:highlight w:val="none"/>
              </w:rPr>
              <w:t>手续办理</w:t>
            </w:r>
            <w:r>
              <w:rPr>
                <w:rFonts w:hint="eastAsia" w:ascii="仿宋_GB2312" w:hAnsi="仿宋_GB2312" w:eastAsia="仿宋_GB2312" w:cs="仿宋_GB2312"/>
                <w:color w:val="auto"/>
                <w:kern w:val="0"/>
                <w:sz w:val="28"/>
                <w:szCs w:val="28"/>
                <w:highlight w:val="none"/>
              </w:rPr>
              <w:t>和经营</w:t>
            </w:r>
            <w:r>
              <w:rPr>
                <w:rFonts w:hint="eastAsia" w:ascii="仿宋_GB2312" w:hAnsi="仿宋_GB2312" w:eastAsia="仿宋_GB2312" w:cs="仿宋_GB2312"/>
                <w:color w:val="auto"/>
                <w:sz w:val="28"/>
                <w:szCs w:val="28"/>
                <w:highlight w:val="none"/>
              </w:rPr>
              <w:t>筹备的时间。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起租日</w:t>
            </w:r>
          </w:p>
        </w:tc>
        <w:tc>
          <w:tcPr>
            <w:tcW w:w="7641" w:type="dxa"/>
            <w:tcBorders>
              <w:right w:val="double" w:color="auto" w:sz="4" w:space="0"/>
            </w:tcBorders>
            <w:vAlign w:val="center"/>
          </w:tcPr>
          <w:p>
            <w:pPr>
              <w:spacing w:line="340" w:lineRule="exact"/>
              <w:ind w:right="48" w:rightChars="20"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开始计算租金的时间，经营准备期满后的次日为</w:t>
            </w:r>
            <w:r>
              <w:rPr>
                <w:rFonts w:hint="eastAsia" w:ascii="仿宋_GB2312" w:hAnsi="仿宋_GB2312" w:eastAsia="仿宋_GB2312" w:cs="仿宋_GB2312"/>
                <w:color w:val="auto"/>
                <w:sz w:val="28"/>
                <w:szCs w:val="28"/>
                <w:highlight w:val="none"/>
                <w:lang w:eastAsia="zh-CN"/>
              </w:rPr>
              <w:t>物业空间</w:t>
            </w:r>
            <w:r>
              <w:rPr>
                <w:rFonts w:hint="eastAsia" w:ascii="仿宋_GB2312" w:hAnsi="仿宋_GB2312" w:eastAsia="仿宋_GB2312" w:cs="仿宋_GB2312"/>
                <w:color w:val="auto"/>
                <w:sz w:val="28"/>
                <w:szCs w:val="28"/>
                <w:highlight w:val="none"/>
              </w:rPr>
              <w:t>的起租日。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租赁年度</w:t>
            </w:r>
          </w:p>
        </w:tc>
        <w:tc>
          <w:tcPr>
            <w:tcW w:w="7641" w:type="dxa"/>
            <w:tcBorders>
              <w:right w:val="double" w:color="auto" w:sz="4" w:space="0"/>
            </w:tcBorders>
            <w:vAlign w:val="center"/>
          </w:tcPr>
          <w:p>
            <w:pPr>
              <w:spacing w:line="340" w:lineRule="exact"/>
              <w:ind w:right="48" w:rightChars="20"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自起租日开始计算满一年为一个完整的租赁年度。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自然年度</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即</w:t>
            </w:r>
            <w:r>
              <w:rPr>
                <w:color w:val="auto"/>
                <w:highlight w:val="none"/>
              </w:rPr>
              <w:fldChar w:fldCharType="begin"/>
            </w:r>
            <w:r>
              <w:rPr>
                <w:color w:val="auto"/>
                <w:highlight w:val="none"/>
              </w:rPr>
              <w:instrText xml:space="preserve"> HYPERLINK "https://baike.baidu.com/item/%E5%85%AC%E5%8E%86" \t "_blank" </w:instrText>
            </w:r>
            <w:r>
              <w:rPr>
                <w:color w:val="auto"/>
                <w:highlight w:val="none"/>
              </w:rPr>
              <w:fldChar w:fldCharType="separate"/>
            </w:r>
            <w:r>
              <w:rPr>
                <w:rFonts w:ascii="仿宋_GB2312" w:hAnsi="仿宋_GB2312" w:eastAsia="仿宋_GB2312" w:cs="仿宋_GB2312"/>
                <w:color w:val="auto"/>
                <w:sz w:val="28"/>
                <w:szCs w:val="28"/>
                <w:highlight w:val="none"/>
              </w:rPr>
              <w:t>公历</w:t>
            </w:r>
            <w:r>
              <w:rPr>
                <w:rFonts w:ascii="仿宋_GB2312" w:hAnsi="仿宋_GB2312" w:eastAsia="仿宋_GB2312" w:cs="仿宋_GB2312"/>
                <w:color w:val="auto"/>
                <w:sz w:val="28"/>
                <w:szCs w:val="28"/>
                <w:highlight w:val="none"/>
              </w:rPr>
              <w:fldChar w:fldCharType="end"/>
            </w:r>
            <w:r>
              <w:rPr>
                <w:rFonts w:ascii="仿宋_GB2312" w:hAnsi="仿宋_GB2312" w:eastAsia="仿宋_GB2312" w:cs="仿宋_GB2312"/>
                <w:color w:val="auto"/>
                <w:sz w:val="28"/>
                <w:szCs w:val="28"/>
                <w:highlight w:val="none"/>
              </w:rPr>
              <w:t>的1月1日至12月31日</w:t>
            </w:r>
            <w:r>
              <w:rPr>
                <w:rFonts w:hint="eastAsia" w:ascii="仿宋_GB2312" w:hAnsi="仿宋_GB2312" w:eastAsia="仿宋_GB2312" w:cs="仿宋_GB2312"/>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租金</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指在出租标的租赁期限内，</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无论是否存在对外商业经营行为或无论经营盈亏，均须按照租赁年度向</w:t>
            </w:r>
            <w:r>
              <w:rPr>
                <w:rFonts w:hint="eastAsia" w:ascii="仿宋_GB2312" w:hAnsi="仿宋_GB2312" w:eastAsia="仿宋_GB2312" w:cs="仿宋_GB2312"/>
                <w:color w:val="auto"/>
                <w:sz w:val="28"/>
                <w:szCs w:val="28"/>
                <w:highlight w:val="none"/>
                <w:lang w:eastAsia="zh-CN"/>
              </w:rPr>
              <w:t>甲方</w:t>
            </w:r>
            <w:r>
              <w:rPr>
                <w:rFonts w:hint="eastAsia" w:ascii="仿宋_GB2312" w:hAnsi="仿宋_GB2312" w:eastAsia="仿宋_GB2312" w:cs="仿宋_GB2312"/>
                <w:color w:val="auto"/>
                <w:sz w:val="28"/>
                <w:szCs w:val="28"/>
                <w:highlight w:val="none"/>
              </w:rPr>
              <w:t>支付的租金。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商业合同</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利用物业空间进行商业资源开发经营而签订的合同。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适用法律</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所有的中华人民共和国法律、行政法规、地方性法规、自治条例、单行条例、部门规章、地方政府规章及其它具有约束力的强制性规范性文件（包括国家、地方和行业的技术标准、规范和要求）。在本合同中，“适用法律”不应包括香港特别行政区、澳门特别行政区和台湾地区的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政府部门</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指中华人民共和国政府及其下属部门，包括对</w:t>
            </w:r>
            <w:r>
              <w:rPr>
                <w:rFonts w:ascii="仿宋_GB2312" w:hAnsi="仿宋_GB2312" w:eastAsia="仿宋_GB2312" w:cs="仿宋_GB2312"/>
                <w:color w:val="auto"/>
                <w:sz w:val="28"/>
                <w:szCs w:val="28"/>
                <w:highlight w:val="none"/>
              </w:rPr>
              <w:t>物业空间</w:t>
            </w:r>
            <w:r>
              <w:rPr>
                <w:rFonts w:hint="eastAsia" w:ascii="仿宋_GB2312" w:hAnsi="仿宋_GB2312" w:eastAsia="仿宋_GB2312" w:cs="仿宋_GB2312"/>
                <w:color w:val="auto"/>
                <w:sz w:val="28"/>
                <w:szCs w:val="28"/>
                <w:highlight w:val="none"/>
              </w:rPr>
              <w:t>具有行政管理权的各级政府及其下属部门。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工作日</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指除中华人民共和国法定节假日、双休日以外的公历日。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批准</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指</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为履行本合同需从政府部门、上级机构或</w:t>
            </w:r>
            <w:r>
              <w:rPr>
                <w:rFonts w:hint="eastAsia" w:ascii="仿宋_GB2312" w:hAnsi="仿宋_GB2312" w:eastAsia="仿宋_GB2312" w:cs="仿宋_GB2312"/>
                <w:color w:val="auto"/>
                <w:sz w:val="28"/>
                <w:szCs w:val="28"/>
                <w:highlight w:val="none"/>
                <w:lang w:eastAsia="zh-CN"/>
              </w:rPr>
              <w:t>甲方</w:t>
            </w:r>
            <w:r>
              <w:rPr>
                <w:rFonts w:hint="eastAsia" w:ascii="仿宋_GB2312" w:hAnsi="仿宋_GB2312" w:eastAsia="仿宋_GB2312" w:cs="仿宋_GB2312"/>
                <w:color w:val="auto"/>
                <w:sz w:val="28"/>
                <w:szCs w:val="28"/>
                <w:highlight w:val="none"/>
              </w:rPr>
              <w:t>（按需要而定）获得的许可、执照、同意、批准、批核或备案。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第三方</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在本合同中特指依适用法律和本合同约定，受</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委托履行</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在本合同项下的某一部分义务的设计机构、制造商、供应商、代理公司或经营商户等，但该委托行为任何时候均不能视为对物业空间开发经营的转让和变更，也不能减轻或免除</w:t>
            </w:r>
            <w:r>
              <w:rPr>
                <w:rFonts w:hint="eastAsia" w:ascii="仿宋_GB2312" w:hAnsi="仿宋_GB2312" w:eastAsia="仿宋_GB2312" w:cs="仿宋_GB2312"/>
                <w:color w:val="auto"/>
                <w:sz w:val="28"/>
                <w:szCs w:val="28"/>
                <w:highlight w:val="none"/>
                <w:lang w:eastAsia="zh-CN"/>
              </w:rPr>
              <w:t>乙方</w:t>
            </w:r>
            <w:r>
              <w:rPr>
                <w:rFonts w:hint="eastAsia" w:ascii="仿宋_GB2312" w:hAnsi="仿宋_GB2312" w:eastAsia="仿宋_GB2312" w:cs="仿宋_GB2312"/>
                <w:color w:val="auto"/>
                <w:sz w:val="28"/>
                <w:szCs w:val="28"/>
                <w:highlight w:val="none"/>
              </w:rPr>
              <w:t>在本合同项下的任何责任和义务。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785" w:type="dxa"/>
            <w:tcBorders>
              <w:left w:val="double" w:color="auto" w:sz="4" w:space="0"/>
            </w:tcBorders>
            <w:vAlign w:val="center"/>
          </w:tcPr>
          <w:p>
            <w:pPr>
              <w:autoSpaceDE w:val="0"/>
              <w:autoSpaceDN w:val="0"/>
              <w:adjustRightInd w:val="0"/>
              <w:spacing w:line="340" w:lineRule="exact"/>
              <w:ind w:firstLine="0" w:firstLineChars="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不可</w:t>
            </w:r>
            <w:r>
              <w:rPr>
                <w:rFonts w:ascii="仿宋_GB2312" w:hAnsi="仿宋_GB2312" w:eastAsia="仿宋_GB2312" w:cs="仿宋_GB2312"/>
                <w:color w:val="auto"/>
                <w:sz w:val="28"/>
                <w:szCs w:val="28"/>
                <w:highlight w:val="none"/>
              </w:rPr>
              <w:t>抗力</w:t>
            </w:r>
          </w:p>
        </w:tc>
        <w:tc>
          <w:tcPr>
            <w:tcW w:w="7641" w:type="dxa"/>
            <w:tcBorders>
              <w:right w:val="double" w:color="auto" w:sz="4" w:space="0"/>
            </w:tcBorders>
            <w:vAlign w:val="center"/>
          </w:tcPr>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r>
              <w:rPr>
                <w:rFonts w:ascii="仿宋_GB2312" w:hAnsi="仿宋_GB2312" w:eastAsia="仿宋_GB2312" w:cs="仿宋_GB2312"/>
                <w:color w:val="auto"/>
                <w:sz w:val="28"/>
                <w:szCs w:val="28"/>
                <w:highlight w:val="none"/>
              </w:rPr>
              <w:t>1）不可抗力指不能预见、不能避免并不能克服的客观情况，包括因战争、敌对行动（无论是否宣战）、入侵、外敌行为、军事政变、恐怖主义、动乱、空中飞行物坠落、十四级（含）以上的台风或其他非双方责任或原因造成的罢工、停工、爆炸、火灾</w:t>
            </w:r>
            <w:r>
              <w:rPr>
                <w:rFonts w:hint="eastAsia" w:ascii="仿宋_GB2312" w:hAnsi="仿宋_GB2312" w:eastAsia="仿宋_GB2312" w:cs="仿宋_GB2312"/>
                <w:color w:val="auto"/>
                <w:sz w:val="28"/>
                <w:szCs w:val="28"/>
                <w:highlight w:val="none"/>
              </w:rPr>
              <w:t>、水灾等。</w:t>
            </w:r>
          </w:p>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r>
              <w:rPr>
                <w:rFonts w:ascii="仿宋_GB2312" w:hAnsi="仿宋_GB2312" w:eastAsia="仿宋_GB2312" w:cs="仿宋_GB2312"/>
                <w:color w:val="auto"/>
                <w:sz w:val="28"/>
                <w:szCs w:val="28"/>
                <w:highlight w:val="none"/>
              </w:rPr>
              <w:t>2）政府部门、地铁管理部门发出收回物业空间、改变用途、禁止进入、征用等通知，而造成的撤销、搬迁、基建维修或经营方式、经营范围调整等任何一种情况。</w:t>
            </w:r>
          </w:p>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r>
              <w:rPr>
                <w:rFonts w:ascii="仿宋_GB2312" w:hAnsi="仿宋_GB2312" w:eastAsia="仿宋_GB2312" w:cs="仿宋_GB2312"/>
                <w:color w:val="auto"/>
                <w:sz w:val="28"/>
                <w:szCs w:val="28"/>
                <w:highlight w:val="none"/>
              </w:rPr>
              <w:t>3）政府部门在重大活动、重大事件、突发事件（反恐、应急演练等）而采取的临时措施行为或其他任何事件发生时的征用或统一调度。</w:t>
            </w:r>
          </w:p>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r>
              <w:rPr>
                <w:rFonts w:ascii="仿宋_GB2312" w:hAnsi="仿宋_GB2312" w:eastAsia="仿宋_GB2312" w:cs="仿宋_GB2312"/>
                <w:color w:val="auto"/>
                <w:sz w:val="28"/>
                <w:szCs w:val="28"/>
                <w:highlight w:val="none"/>
              </w:rPr>
              <w:t>4）政府部门没收、征收、征用导致的租赁期提前终止。</w:t>
            </w:r>
          </w:p>
          <w:p>
            <w:pPr>
              <w:autoSpaceDE w:val="0"/>
              <w:autoSpaceDN w:val="0"/>
              <w:adjustRightInd w:val="0"/>
              <w:spacing w:line="340" w:lineRule="exact"/>
              <w:ind w:firstLine="560" w:firstLineChars="2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r>
              <w:rPr>
                <w:rFonts w:ascii="仿宋_GB2312" w:hAnsi="仿宋_GB2312" w:eastAsia="仿宋_GB2312" w:cs="仿宋_GB2312"/>
                <w:color w:val="auto"/>
                <w:sz w:val="28"/>
                <w:szCs w:val="28"/>
                <w:highlight w:val="none"/>
              </w:rPr>
              <w:t>5）政府部门或地铁管理部门因运营、安全需要等要求进行结构改造、业种调整等。</w:t>
            </w:r>
          </w:p>
        </w:tc>
      </w:tr>
    </w:tbl>
    <w:p>
      <w:pPr>
        <w:overflowPunct w:val="0"/>
        <w:autoSpaceDE w:val="0"/>
        <w:ind w:firstLine="520" w:firstLineChars="186"/>
        <w:jc w:val="left"/>
        <w:rPr>
          <w:rFonts w:hint="eastAsia" w:ascii="仿宋_GB2312" w:hAnsi="宋体" w:eastAsia="仿宋_GB2312"/>
          <w:color w:val="auto"/>
          <w:sz w:val="28"/>
          <w:szCs w:val="28"/>
          <w:highlight w:val="none"/>
        </w:rPr>
      </w:pPr>
      <w:bookmarkStart w:id="0" w:name="_Toc484608490"/>
      <w:bookmarkStart w:id="1" w:name="_Toc409530966"/>
      <w:bookmarkStart w:id="2" w:name="_Toc484419255"/>
      <w:bookmarkStart w:id="3" w:name="_Toc484520530"/>
      <w:bookmarkStart w:id="4" w:name="_Toc483398237"/>
      <w:bookmarkStart w:id="5" w:name="_Toc484418940"/>
      <w:bookmarkStart w:id="6" w:name="_Toc484187995"/>
      <w:bookmarkStart w:id="7" w:name="_Toc484419097"/>
      <w:r>
        <w:rPr>
          <w:rFonts w:hint="eastAsia" w:ascii="仿宋_GB2312" w:hAnsi="宋体" w:eastAsia="仿宋_GB2312"/>
          <w:color w:val="auto"/>
          <w:sz w:val="28"/>
          <w:szCs w:val="28"/>
          <w:highlight w:val="none"/>
        </w:rPr>
        <w:t>1.2 其它特定术语和释义</w:t>
      </w:r>
      <w:bookmarkEnd w:id="0"/>
      <w:bookmarkEnd w:id="1"/>
      <w:bookmarkEnd w:id="2"/>
      <w:bookmarkEnd w:id="3"/>
      <w:bookmarkEnd w:id="4"/>
      <w:bookmarkEnd w:id="5"/>
      <w:bookmarkEnd w:id="6"/>
      <w:bookmarkEnd w:id="7"/>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在本合同中，除非上下文另有约定：</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1.2.1 “人民币”指中华人民共和国法定货币。</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1.2.2 本合同中提到的条款和附件均为本合同的条款和附件。</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1.2.3</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所指的日（天）、星期、月份和年均指公历的日、星期、月份和年。</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1.2.4 若要求支付之日为非工作日，则应视要求支付之日为下一个工作日。</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1.2.5 所指的合同在任何情况下均包括对本合同及时所作的补充、修改、合并、更替或替代。</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1.2.6 表示单数的词语亦包括该词语的复数，反之亦然。</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1.2.7 条款标题仅作为参考，不应用于本合同的解释。</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1.2.8 凡提及任何一项适用法律应解释为包括对该项适用法律及时做出的修改、综合、补充或替代。</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1.2.9 除非另有表述，时间均指北京时间。</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1.2.10 </w:t>
      </w:r>
      <w:bookmarkStart w:id="8" w:name="_Toc409530967"/>
      <w:bookmarkStart w:id="9" w:name="_Toc484608491"/>
      <w:r>
        <w:rPr>
          <w:rFonts w:hint="eastAsia" w:ascii="仿宋_GB2312" w:hAnsi="宋体" w:eastAsia="仿宋_GB2312"/>
          <w:color w:val="auto"/>
          <w:sz w:val="28"/>
          <w:szCs w:val="28"/>
          <w:highlight w:val="none"/>
        </w:rPr>
        <w:t>维护和维修概念的区别是关于设备的损坏程度不同，维护一般是指设备能够正常运行时的定期保养，而维修则是对已经损坏的设备进行修理。</w:t>
      </w:r>
    </w:p>
    <w:p>
      <w:pPr>
        <w:autoSpaceDE w:val="0"/>
        <w:autoSpaceDN w:val="0"/>
        <w:adjustRightInd w:val="0"/>
        <w:ind w:firstLine="562" w:firstLineChars="200"/>
        <w:jc w:val="left"/>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第二条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声明和保证</w:t>
      </w:r>
      <w:bookmarkEnd w:id="8"/>
      <w:bookmarkEnd w:id="9"/>
    </w:p>
    <w:p>
      <w:pPr>
        <w:overflowPunct w:val="0"/>
        <w:autoSpaceDE w:val="0"/>
        <w:ind w:firstLine="520" w:firstLineChars="186"/>
        <w:jc w:val="left"/>
        <w:rPr>
          <w:rFonts w:hint="eastAsia" w:ascii="仿宋_GB2312" w:hAnsi="宋体" w:eastAsia="仿宋_GB2312"/>
          <w:color w:val="auto"/>
          <w:sz w:val="28"/>
          <w:szCs w:val="28"/>
          <w:highlight w:val="none"/>
        </w:rPr>
      </w:pPr>
      <w:bookmarkStart w:id="10" w:name="_Toc484418942"/>
      <w:bookmarkStart w:id="11" w:name="_Toc409530968"/>
      <w:bookmarkStart w:id="12" w:name="_Toc484419257"/>
      <w:bookmarkStart w:id="13" w:name="_Toc483398239"/>
      <w:bookmarkStart w:id="14" w:name="_Toc484608492"/>
      <w:bookmarkStart w:id="15" w:name="_Toc484419099"/>
      <w:bookmarkStart w:id="16" w:name="_Toc484187997"/>
      <w:bookmarkStart w:id="17" w:name="_Toc484520532"/>
      <w:r>
        <w:rPr>
          <w:rFonts w:hint="eastAsia" w:ascii="仿宋_GB2312" w:hAnsi="宋体" w:eastAsia="仿宋_GB2312"/>
          <w:color w:val="auto"/>
          <w:sz w:val="28"/>
          <w:szCs w:val="28"/>
          <w:highlight w:val="none"/>
        </w:rPr>
        <w:t xml:space="preserve">2.1 </w:t>
      </w:r>
      <w:r>
        <w:rPr>
          <w:rFonts w:hint="eastAsia"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和</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在此共同声明和保证：</w:t>
      </w:r>
      <w:bookmarkEnd w:id="10"/>
      <w:bookmarkEnd w:id="11"/>
      <w:bookmarkEnd w:id="12"/>
      <w:bookmarkEnd w:id="13"/>
      <w:bookmarkEnd w:id="14"/>
      <w:bookmarkEnd w:id="15"/>
      <w:bookmarkEnd w:id="16"/>
      <w:bookmarkEnd w:id="17"/>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2.1.1 双方是根据中华人民共和国法律合法成立、有效存续的法人，具有完全的民事行为能力和民事权利能力，有权签订本合同，并能以自身名义行使及履行其在本合同项下的权利和义务。</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2.1.2 双方签署和履行本合同是自身的真实意思表示，并已经取得所需的合法授权，各方在本合同中的各项义务均为合法、有效。</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2.1.3 双方在签署和履行本合同过程中提供的全部文件、报表、资料及信息是真实、准确、完整和有效的，未隐瞒任何可能影响本合同履行的相关信息，也未提供虚假的资料或信息。</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2.1.4 本合同是</w:t>
      </w:r>
      <w:r>
        <w:rPr>
          <w:rFonts w:hint="eastAsia"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双方约定的行使权利和义务的依据，也是</w:t>
      </w:r>
      <w:r>
        <w:rPr>
          <w:rFonts w:hint="eastAsia"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按照本合同对</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在合同约定期限的经营行为实施监督和收取租金等的依据。</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2.1.5 本合同并不限制或以其他方式影响</w:t>
      </w:r>
      <w:r>
        <w:rPr>
          <w:rFonts w:hint="eastAsia"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行使其法定权利</w:t>
      </w:r>
      <w:bookmarkStart w:id="18" w:name="_Toc484520533"/>
      <w:bookmarkStart w:id="19" w:name="_Toc484419258"/>
      <w:bookmarkStart w:id="20" w:name="_Toc484419100"/>
      <w:bookmarkStart w:id="21" w:name="_Toc484187998"/>
      <w:bookmarkStart w:id="22" w:name="_Toc484608493"/>
      <w:bookmarkStart w:id="23" w:name="_Toc483398240"/>
      <w:bookmarkStart w:id="24" w:name="_Toc484418943"/>
      <w:r>
        <w:rPr>
          <w:rFonts w:hint="eastAsia" w:ascii="仿宋_GB2312" w:hAnsi="宋体" w:eastAsia="仿宋_GB2312"/>
          <w:color w:val="auto"/>
          <w:sz w:val="28"/>
          <w:szCs w:val="28"/>
          <w:highlight w:val="none"/>
        </w:rPr>
        <w:t>。</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2.2 </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单独保证并声明：</w:t>
      </w:r>
      <w:bookmarkEnd w:id="18"/>
      <w:bookmarkEnd w:id="19"/>
      <w:bookmarkEnd w:id="20"/>
      <w:bookmarkEnd w:id="21"/>
      <w:bookmarkEnd w:id="22"/>
      <w:bookmarkEnd w:id="23"/>
      <w:bookmarkEnd w:id="24"/>
    </w:p>
    <w:p>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default" w:ascii="仿宋_GB2312" w:hAnsi="宋体" w:eastAsia="仿宋_GB2312"/>
          <w:color w:val="auto"/>
          <w:sz w:val="28"/>
          <w:szCs w:val="28"/>
          <w:highlight w:val="none"/>
          <w:lang w:val="en-US" w:eastAsia="zh-CN"/>
        </w:rPr>
        <w:t>2.2.1</w:t>
      </w:r>
      <w:r>
        <w:rPr>
          <w:rFonts w:hint="eastAsia" w:ascii="仿宋_GB2312" w:hAnsi="宋体" w:eastAsia="仿宋_GB2312"/>
          <w:color w:val="auto"/>
          <w:sz w:val="28"/>
          <w:szCs w:val="28"/>
          <w:highlight w:val="none"/>
          <w:lang w:val="en-US" w:eastAsia="zh-CN"/>
        </w:rPr>
        <w:t xml:space="preserve"> </w:t>
      </w:r>
      <w:r>
        <w:rPr>
          <w:rFonts w:hint="default" w:ascii="仿宋_GB2312" w:hAnsi="宋体" w:eastAsia="仿宋_GB2312"/>
          <w:color w:val="auto"/>
          <w:sz w:val="28"/>
          <w:szCs w:val="28"/>
          <w:highlight w:val="none"/>
          <w:lang w:val="en-US" w:eastAsia="zh-CN"/>
        </w:rPr>
        <w:t>乙方</w:t>
      </w:r>
      <w:r>
        <w:rPr>
          <w:rFonts w:hint="eastAsia" w:ascii="仿宋_GB2312" w:hAnsi="宋体" w:eastAsia="仿宋_GB2312"/>
          <w:color w:val="auto"/>
          <w:sz w:val="28"/>
          <w:szCs w:val="28"/>
          <w:highlight w:val="none"/>
        </w:rPr>
        <w:t>明确知晓</w:t>
      </w:r>
      <w:r>
        <w:rPr>
          <w:rFonts w:hint="default" w:ascii="仿宋_GB2312" w:hAnsi="宋体" w:eastAsia="仿宋_GB2312"/>
          <w:color w:val="auto"/>
          <w:sz w:val="28"/>
          <w:szCs w:val="28"/>
          <w:highlight w:val="none"/>
        </w:rPr>
        <w:t>出租</w:t>
      </w:r>
      <w:r>
        <w:rPr>
          <w:rFonts w:hint="eastAsia" w:ascii="仿宋_GB2312" w:hAnsi="宋体" w:eastAsia="仿宋_GB2312"/>
          <w:color w:val="auto"/>
          <w:sz w:val="28"/>
          <w:szCs w:val="28"/>
          <w:highlight w:val="none"/>
        </w:rPr>
        <w:t>标的物暂未办理</w:t>
      </w:r>
      <w:r>
        <w:rPr>
          <w:rFonts w:hint="default" w:ascii="仿宋_GB2312" w:hAnsi="宋体" w:eastAsia="仿宋_GB2312"/>
          <w:color w:val="auto"/>
          <w:sz w:val="28"/>
          <w:szCs w:val="28"/>
          <w:highlight w:val="none"/>
        </w:rPr>
        <w:t>完成可用于商业经营的相关行政</w:t>
      </w:r>
      <w:r>
        <w:rPr>
          <w:rFonts w:hint="eastAsia" w:ascii="仿宋_GB2312" w:hAnsi="宋体" w:eastAsia="仿宋_GB2312"/>
          <w:color w:val="auto"/>
          <w:sz w:val="28"/>
          <w:szCs w:val="28"/>
          <w:highlight w:val="none"/>
        </w:rPr>
        <w:t>许可证，签订</w:t>
      </w:r>
      <w:r>
        <w:rPr>
          <w:rFonts w:hint="default" w:ascii="仿宋_GB2312" w:hAnsi="宋体" w:eastAsia="仿宋_GB2312"/>
          <w:color w:val="auto"/>
          <w:sz w:val="28"/>
          <w:szCs w:val="28"/>
          <w:highlight w:val="none"/>
        </w:rPr>
        <w:t>本</w:t>
      </w:r>
      <w:r>
        <w:rPr>
          <w:rFonts w:hint="eastAsia" w:ascii="仿宋_GB2312" w:hAnsi="宋体" w:eastAsia="仿宋_GB2312"/>
          <w:color w:val="auto"/>
          <w:sz w:val="28"/>
          <w:szCs w:val="28"/>
          <w:highlight w:val="none"/>
        </w:rPr>
        <w:t>合同可能存在的</w:t>
      </w:r>
      <w:r>
        <w:rPr>
          <w:rFonts w:hint="default" w:ascii="仿宋_GB2312" w:hAnsi="宋体" w:eastAsia="仿宋_GB2312"/>
          <w:color w:val="auto"/>
          <w:sz w:val="28"/>
          <w:szCs w:val="28"/>
          <w:highlight w:val="none"/>
        </w:rPr>
        <w:t>潜在</w:t>
      </w:r>
      <w:r>
        <w:rPr>
          <w:rFonts w:hint="eastAsia" w:ascii="仿宋_GB2312" w:hAnsi="宋体" w:eastAsia="仿宋_GB2312"/>
          <w:color w:val="auto"/>
          <w:sz w:val="28"/>
          <w:szCs w:val="28"/>
          <w:highlight w:val="none"/>
        </w:rPr>
        <w:t>风险，并自愿签订</w:t>
      </w:r>
      <w:r>
        <w:rPr>
          <w:rFonts w:hint="default" w:ascii="仿宋_GB2312" w:hAnsi="宋体" w:eastAsia="仿宋_GB2312"/>
          <w:color w:val="auto"/>
          <w:sz w:val="28"/>
          <w:szCs w:val="28"/>
          <w:highlight w:val="none"/>
        </w:rPr>
        <w:t>本</w:t>
      </w:r>
      <w:r>
        <w:rPr>
          <w:rFonts w:hint="eastAsia" w:ascii="仿宋_GB2312" w:hAnsi="宋体" w:eastAsia="仿宋_GB2312"/>
          <w:color w:val="auto"/>
          <w:sz w:val="28"/>
          <w:szCs w:val="28"/>
          <w:highlight w:val="none"/>
        </w:rPr>
        <w:t>合同，由此产生一切后果（包括但不限于</w:t>
      </w:r>
      <w:r>
        <w:rPr>
          <w:rFonts w:hint="default" w:ascii="仿宋_GB2312" w:hAnsi="宋体" w:eastAsia="仿宋_GB2312"/>
          <w:color w:val="auto"/>
          <w:sz w:val="28"/>
          <w:szCs w:val="28"/>
          <w:highlight w:val="none"/>
        </w:rPr>
        <w:t>本</w:t>
      </w:r>
      <w:r>
        <w:rPr>
          <w:rFonts w:hint="eastAsia" w:ascii="仿宋_GB2312" w:hAnsi="宋体" w:eastAsia="仿宋_GB2312"/>
          <w:color w:val="auto"/>
          <w:sz w:val="28"/>
          <w:szCs w:val="28"/>
          <w:highlight w:val="none"/>
        </w:rPr>
        <w:t>合同无效、解除或其他任何原因不能履行）由</w:t>
      </w:r>
      <w:r>
        <w:rPr>
          <w:rFonts w:hint="default" w:ascii="仿宋_GB2312" w:hAnsi="宋体" w:eastAsia="仿宋_GB2312"/>
          <w:color w:val="auto"/>
          <w:sz w:val="28"/>
          <w:szCs w:val="28"/>
          <w:highlight w:val="none"/>
          <w:lang w:eastAsia="zh-CN"/>
        </w:rPr>
        <w:t>乙方</w:t>
      </w:r>
      <w:r>
        <w:rPr>
          <w:rFonts w:hint="default" w:ascii="仿宋_GB2312" w:hAnsi="宋体" w:eastAsia="仿宋_GB2312"/>
          <w:color w:val="auto"/>
          <w:sz w:val="28"/>
          <w:szCs w:val="28"/>
          <w:highlight w:val="none"/>
        </w:rPr>
        <w:t>自行</w:t>
      </w:r>
      <w:r>
        <w:rPr>
          <w:rFonts w:hint="eastAsia" w:ascii="仿宋_GB2312" w:hAnsi="宋体" w:eastAsia="仿宋_GB2312"/>
          <w:color w:val="auto"/>
          <w:sz w:val="28"/>
          <w:szCs w:val="28"/>
          <w:highlight w:val="none"/>
        </w:rPr>
        <w:t>承担，</w:t>
      </w:r>
      <w:r>
        <w:rPr>
          <w:rFonts w:hint="default"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不得向</w:t>
      </w:r>
      <w:r>
        <w:rPr>
          <w:rFonts w:hint="default"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主张任何补偿或赔偿责任。</w:t>
      </w:r>
    </w:p>
    <w:p>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default" w:ascii="仿宋_GB2312" w:hAnsi="宋体" w:eastAsia="仿宋_GB2312"/>
          <w:color w:val="auto"/>
          <w:sz w:val="28"/>
          <w:szCs w:val="28"/>
          <w:highlight w:val="none"/>
          <w:lang w:val="en-US" w:eastAsia="zh-CN"/>
        </w:rPr>
        <w:t>2.2.2</w:t>
      </w:r>
      <w:r>
        <w:rPr>
          <w:rFonts w:hint="eastAsia" w:ascii="仿宋_GB2312" w:hAnsi="宋体" w:eastAsia="仿宋_GB2312"/>
          <w:color w:val="auto"/>
          <w:sz w:val="28"/>
          <w:szCs w:val="28"/>
          <w:highlight w:val="none"/>
          <w:lang w:val="en-US" w:eastAsia="zh-CN"/>
        </w:rPr>
        <w:t xml:space="preserve"> 乙方</w:t>
      </w:r>
      <w:r>
        <w:rPr>
          <w:rFonts w:hint="default" w:ascii="仿宋_GB2312" w:hAnsi="宋体" w:eastAsia="仿宋_GB2312"/>
          <w:color w:val="auto"/>
          <w:sz w:val="28"/>
          <w:szCs w:val="28"/>
          <w:highlight w:val="none"/>
        </w:rPr>
        <w:t>愿意且有能力承担本项目的全部投资及</w:t>
      </w:r>
      <w:r>
        <w:rPr>
          <w:rFonts w:hint="eastAsia" w:ascii="仿宋_GB2312" w:hAnsi="宋体" w:eastAsia="仿宋_GB2312"/>
          <w:color w:val="auto"/>
          <w:sz w:val="28"/>
          <w:szCs w:val="28"/>
          <w:highlight w:val="none"/>
          <w:lang w:val="en-US" w:eastAsia="zh-CN"/>
        </w:rPr>
        <w:t>办理</w:t>
      </w:r>
      <w:r>
        <w:rPr>
          <w:rFonts w:hint="default" w:ascii="仿宋_GB2312" w:hAnsi="宋体" w:eastAsia="仿宋_GB2312"/>
          <w:color w:val="auto"/>
          <w:sz w:val="28"/>
          <w:szCs w:val="28"/>
          <w:highlight w:val="none"/>
        </w:rPr>
        <w:t>相关的政府行政审批手续</w:t>
      </w:r>
      <w:r>
        <w:rPr>
          <w:rFonts w:hint="default" w:ascii="仿宋_GB2312" w:hAnsi="宋体" w:eastAsia="仿宋_GB2312"/>
          <w:color w:val="auto"/>
          <w:sz w:val="28"/>
          <w:szCs w:val="28"/>
          <w:highlight w:val="none"/>
          <w:lang w:eastAsia="zh-CN"/>
        </w:rPr>
        <w:t>。</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default" w:ascii="仿宋_GB2312" w:hAnsi="宋体" w:eastAsia="仿宋_GB2312"/>
          <w:color w:val="auto"/>
          <w:sz w:val="28"/>
          <w:szCs w:val="28"/>
          <w:highlight w:val="none"/>
          <w:lang w:val="en-US" w:eastAsia="zh-CN"/>
        </w:rPr>
        <w:t xml:space="preserve">2.2.3 乙方对参与本次承租提交的相关资料真实性、合法性负责，并承担弄虚作假可能带来的一切法律责任。   </w:t>
      </w:r>
    </w:p>
    <w:p>
      <w:pPr>
        <w:overflowPunct w:val="0"/>
        <w:autoSpaceDE w:val="0"/>
        <w:ind w:firstLine="520" w:firstLineChars="186"/>
        <w:jc w:val="left"/>
        <w:rPr>
          <w:rFonts w:hint="eastAsia" w:ascii="仿宋_GB2312" w:hAnsi="宋体" w:eastAsia="仿宋_GB2312"/>
          <w:color w:val="auto"/>
          <w:sz w:val="28"/>
          <w:szCs w:val="28"/>
          <w:highlight w:val="none"/>
        </w:rPr>
      </w:pPr>
      <w:bookmarkStart w:id="25" w:name="_Toc484608495"/>
      <w:bookmarkStart w:id="26" w:name="_Toc484419101"/>
      <w:bookmarkStart w:id="27" w:name="_Toc484187999"/>
      <w:bookmarkStart w:id="28" w:name="_Toc484419259"/>
      <w:bookmarkStart w:id="29" w:name="_Toc484418944"/>
      <w:bookmarkStart w:id="30" w:name="_Toc409530969"/>
      <w:bookmarkStart w:id="31" w:name="_Toc484520534"/>
      <w:bookmarkStart w:id="32" w:name="_Toc483398241"/>
      <w:r>
        <w:rPr>
          <w:rFonts w:hint="eastAsia" w:ascii="仿宋_GB2312" w:hAnsi="宋体" w:eastAsia="仿宋_GB2312"/>
          <w:color w:val="auto"/>
          <w:sz w:val="28"/>
          <w:szCs w:val="28"/>
          <w:highlight w:val="none"/>
        </w:rPr>
        <w:t>2.2.</w:t>
      </w:r>
      <w:r>
        <w:rPr>
          <w:rFonts w:hint="eastAsia" w:ascii="仿宋_GB2312" w:hAnsi="宋体" w:eastAsia="仿宋_GB2312"/>
          <w:color w:val="auto"/>
          <w:sz w:val="28"/>
          <w:szCs w:val="28"/>
          <w:highlight w:val="none"/>
          <w:lang w:val="en-US" w:eastAsia="zh-CN"/>
        </w:rPr>
        <w:t>4</w:t>
      </w: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在签约前，已对出租标的进行现场实地查勘，充分了解现标的物相关情况，自愿按出租标的现状和本合同约定承租。</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2.3 不转租</w:t>
      </w:r>
    </w:p>
    <w:bookmarkEnd w:id="25"/>
    <w:bookmarkEnd w:id="26"/>
    <w:bookmarkEnd w:id="27"/>
    <w:bookmarkEnd w:id="28"/>
    <w:bookmarkEnd w:id="29"/>
    <w:bookmarkEnd w:id="30"/>
    <w:bookmarkEnd w:id="31"/>
    <w:bookmarkEnd w:id="32"/>
    <w:p>
      <w:pPr>
        <w:overflowPunct w:val="0"/>
        <w:autoSpaceDE w:val="0"/>
        <w:ind w:firstLine="520" w:firstLineChars="186"/>
        <w:jc w:val="left"/>
        <w:rPr>
          <w:rFonts w:hint="eastAsia" w:ascii="仿宋_GB2312" w:hAnsi="宋体" w:eastAsia="仿宋_GB2312"/>
          <w:color w:val="auto"/>
          <w:sz w:val="28"/>
          <w:szCs w:val="28"/>
          <w:highlight w:val="none"/>
        </w:rPr>
      </w:pPr>
      <w:bookmarkStart w:id="33" w:name="_Toc484188000"/>
      <w:bookmarkStart w:id="34" w:name="_Toc484419260"/>
      <w:bookmarkStart w:id="35" w:name="_Toc484418945"/>
      <w:bookmarkStart w:id="36" w:name="_Toc484608496"/>
      <w:bookmarkStart w:id="37" w:name="_Toc484419102"/>
      <w:bookmarkStart w:id="38" w:name="_Toc483398242"/>
      <w:bookmarkStart w:id="39" w:name="_Toc409530970"/>
      <w:bookmarkStart w:id="40" w:name="_Toc484520535"/>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不得以</w:t>
      </w:r>
      <w:r>
        <w:rPr>
          <w:rFonts w:hint="eastAsia" w:ascii="仿宋_GB2312" w:hAnsi="宋体" w:eastAsia="仿宋_GB2312"/>
          <w:color w:val="auto"/>
          <w:sz w:val="28"/>
          <w:szCs w:val="28"/>
          <w:highlight w:val="none"/>
          <w:lang w:eastAsia="zh-CN"/>
        </w:rPr>
        <w:t>任何形式将出租标的用于</w:t>
      </w:r>
      <w:r>
        <w:rPr>
          <w:rFonts w:hint="eastAsia" w:ascii="仿宋_GB2312" w:hAnsi="宋体" w:eastAsia="仿宋_GB2312"/>
          <w:color w:val="auto"/>
          <w:sz w:val="28"/>
          <w:szCs w:val="28"/>
          <w:highlight w:val="none"/>
        </w:rPr>
        <w:t>进行担保、抵押等融资活动</w:t>
      </w:r>
      <w:r>
        <w:rPr>
          <w:rFonts w:hint="eastAsia" w:ascii="仿宋_GB2312" w:hAnsi="宋体" w:eastAsia="仿宋_GB2312"/>
          <w:color w:val="auto"/>
          <w:sz w:val="28"/>
          <w:szCs w:val="28"/>
          <w:highlight w:val="none"/>
          <w:lang w:eastAsia="zh-CN"/>
        </w:rPr>
        <w:t>，不得将出租标的进行转租</w:t>
      </w:r>
      <w:r>
        <w:rPr>
          <w:rFonts w:hint="eastAsia" w:ascii="仿宋_GB2312" w:hAnsi="宋体" w:eastAsia="仿宋_GB2312"/>
          <w:color w:val="auto"/>
          <w:sz w:val="28"/>
          <w:szCs w:val="28"/>
          <w:highlight w:val="none"/>
        </w:rPr>
        <w:t>。</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2.4 不涉权</w:t>
      </w:r>
      <w:bookmarkEnd w:id="33"/>
      <w:bookmarkEnd w:id="34"/>
      <w:bookmarkEnd w:id="35"/>
      <w:bookmarkEnd w:id="36"/>
      <w:bookmarkEnd w:id="37"/>
      <w:bookmarkEnd w:id="38"/>
      <w:bookmarkEnd w:id="39"/>
      <w:bookmarkEnd w:id="40"/>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2.4.1 本合同不构成双方之间的合营、合资、联营、合伙关系。</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2.4.2 本合同不造成或不构成对经营范围内其他项目的租赁，或给予</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本合同约定的经营内容以外的对经营范围内任何其他项目享有利益、权利或独占。</w:t>
      </w:r>
    </w:p>
    <w:p>
      <w:pPr>
        <w:overflowPunct w:val="0"/>
        <w:autoSpaceDE w:val="0"/>
        <w:ind w:firstLine="520" w:firstLineChars="186"/>
        <w:jc w:val="left"/>
        <w:rPr>
          <w:rFonts w:hint="eastAsia" w:ascii="仿宋_GB2312" w:hAnsi="宋体" w:eastAsia="仿宋_GB2312"/>
          <w:color w:val="auto"/>
          <w:sz w:val="28"/>
          <w:szCs w:val="28"/>
          <w:highlight w:val="none"/>
        </w:rPr>
      </w:pPr>
      <w:bookmarkStart w:id="41" w:name="_Toc483398243"/>
      <w:bookmarkStart w:id="42" w:name="_Toc484419103"/>
      <w:bookmarkStart w:id="43" w:name="_Toc484188001"/>
      <w:bookmarkStart w:id="44" w:name="_Toc484419261"/>
      <w:bookmarkStart w:id="45" w:name="_Toc409530971"/>
      <w:bookmarkStart w:id="46" w:name="_Toc484608497"/>
      <w:bookmarkStart w:id="47" w:name="_Toc484520536"/>
      <w:bookmarkStart w:id="48" w:name="_Toc484418946"/>
      <w:r>
        <w:rPr>
          <w:rFonts w:hint="eastAsia" w:ascii="仿宋_GB2312" w:hAnsi="宋体" w:eastAsia="仿宋_GB2312"/>
          <w:color w:val="auto"/>
          <w:sz w:val="28"/>
          <w:szCs w:val="28"/>
          <w:highlight w:val="none"/>
        </w:rPr>
        <w:t>2.5 地铁运营优先</w:t>
      </w:r>
      <w:bookmarkEnd w:id="41"/>
      <w:bookmarkEnd w:id="42"/>
      <w:bookmarkEnd w:id="43"/>
      <w:bookmarkEnd w:id="44"/>
      <w:bookmarkEnd w:id="45"/>
      <w:bookmarkEnd w:id="46"/>
      <w:bookmarkEnd w:id="47"/>
      <w:bookmarkEnd w:id="48"/>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rPr>
        <w:t>2.5</w:t>
      </w:r>
      <w:r>
        <w:rPr>
          <w:rFonts w:hint="eastAsia" w:ascii="仿宋_GB2312" w:hAnsi="宋体" w:eastAsia="仿宋_GB2312"/>
          <w:color w:val="auto"/>
          <w:sz w:val="28"/>
          <w:szCs w:val="28"/>
          <w:highlight w:val="none"/>
          <w:lang w:val="en-US" w:eastAsia="zh-CN"/>
        </w:rPr>
        <w:t xml:space="preserve">.1 </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lang w:val="en-US" w:eastAsia="zh-CN"/>
        </w:rPr>
        <w:t>明确知晓</w:t>
      </w:r>
      <w:r>
        <w:rPr>
          <w:rFonts w:hint="eastAsia" w:ascii="仿宋_GB2312" w:hAnsi="宋体" w:eastAsia="仿宋_GB2312"/>
          <w:color w:val="auto"/>
          <w:sz w:val="28"/>
          <w:szCs w:val="28"/>
          <w:highlight w:val="none"/>
        </w:rPr>
        <w:t>并同意</w:t>
      </w:r>
      <w:r>
        <w:rPr>
          <w:rFonts w:hint="eastAsia" w:ascii="仿宋_GB2312" w:hAnsi="宋体" w:eastAsia="仿宋_GB2312"/>
          <w:color w:val="auto"/>
          <w:sz w:val="28"/>
          <w:szCs w:val="28"/>
          <w:highlight w:val="none"/>
          <w:lang w:val="en-US" w:eastAsia="zh-CN"/>
        </w:rPr>
        <w:t>在</w:t>
      </w:r>
      <w:r>
        <w:rPr>
          <w:rFonts w:hint="eastAsia" w:ascii="仿宋_GB2312" w:hAnsi="宋体" w:eastAsia="仿宋_GB2312"/>
          <w:color w:val="auto"/>
          <w:sz w:val="28"/>
          <w:szCs w:val="28"/>
          <w:highlight w:val="none"/>
        </w:rPr>
        <w:t>实施</w:t>
      </w:r>
      <w:r>
        <w:rPr>
          <w:rFonts w:hint="eastAsia" w:ascii="仿宋_GB2312" w:hAnsi="宋体" w:eastAsia="仿宋_GB2312"/>
          <w:color w:val="auto"/>
          <w:sz w:val="28"/>
          <w:szCs w:val="28"/>
          <w:highlight w:val="none"/>
          <w:lang w:val="en-US" w:eastAsia="zh-CN"/>
        </w:rPr>
        <w:t>租赁</w:t>
      </w:r>
      <w:r>
        <w:rPr>
          <w:rFonts w:hint="eastAsia" w:ascii="仿宋_GB2312" w:hAnsi="宋体" w:eastAsia="仿宋_GB2312"/>
          <w:color w:val="auto"/>
          <w:sz w:val="28"/>
          <w:szCs w:val="28"/>
          <w:highlight w:val="none"/>
        </w:rPr>
        <w:t>合同项下的任何条款时优先考虑</w:t>
      </w:r>
      <w:r>
        <w:rPr>
          <w:rFonts w:hint="eastAsia" w:ascii="仿宋_GB2312" w:hAnsi="宋体" w:eastAsia="仿宋_GB2312"/>
          <w:color w:val="auto"/>
          <w:sz w:val="28"/>
          <w:szCs w:val="28"/>
          <w:highlight w:val="none"/>
          <w:lang w:val="en-US" w:eastAsia="zh-CN"/>
        </w:rPr>
        <w:t>轨道交通运营</w:t>
      </w:r>
      <w:r>
        <w:rPr>
          <w:rFonts w:hint="eastAsia" w:ascii="仿宋_GB2312" w:hAnsi="宋体" w:eastAsia="仿宋_GB2312"/>
          <w:color w:val="auto"/>
          <w:sz w:val="28"/>
          <w:szCs w:val="28"/>
          <w:highlight w:val="none"/>
        </w:rPr>
        <w:t>的安全高效。</w:t>
      </w:r>
      <w:r>
        <w:rPr>
          <w:rFonts w:hint="eastAsia" w:ascii="仿宋_GB2312" w:hAnsi="宋体" w:eastAsia="仿宋_GB2312"/>
          <w:color w:val="auto"/>
          <w:sz w:val="28"/>
          <w:szCs w:val="28"/>
          <w:highlight w:val="none"/>
          <w:lang w:val="en-US" w:eastAsia="zh-CN"/>
        </w:rPr>
        <w:t>如政府政策变化或</w:t>
      </w:r>
      <w:r>
        <w:rPr>
          <w:rFonts w:hint="eastAsia" w:ascii="仿宋_GB2312" w:hAnsi="宋体" w:eastAsia="仿宋_GB2312"/>
          <w:color w:val="auto"/>
          <w:sz w:val="28"/>
          <w:szCs w:val="28"/>
          <w:highlight w:val="none"/>
        </w:rPr>
        <w:t>地铁建设</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运营需要</w:t>
      </w:r>
      <w:r>
        <w:rPr>
          <w:rFonts w:hint="eastAsia" w:ascii="仿宋_GB2312" w:hAnsi="宋体" w:eastAsia="仿宋_GB2312"/>
          <w:color w:val="auto"/>
          <w:sz w:val="28"/>
          <w:szCs w:val="28"/>
          <w:highlight w:val="none"/>
          <w:lang w:val="en-US" w:eastAsia="zh-CN"/>
        </w:rPr>
        <w:t>时，甲方拥有要求乙方</w:t>
      </w:r>
      <w:r>
        <w:rPr>
          <w:rFonts w:hint="eastAsia" w:ascii="仿宋_GB2312" w:hAnsi="宋体" w:eastAsia="仿宋_GB2312"/>
          <w:color w:val="auto"/>
          <w:sz w:val="28"/>
          <w:szCs w:val="28"/>
          <w:highlight w:val="none"/>
        </w:rPr>
        <w:t>永久或临时</w:t>
      </w:r>
      <w:r>
        <w:rPr>
          <w:rFonts w:hint="eastAsia" w:ascii="仿宋_GB2312" w:hAnsi="宋体" w:eastAsia="仿宋_GB2312"/>
          <w:color w:val="auto"/>
          <w:sz w:val="28"/>
          <w:szCs w:val="28"/>
          <w:highlight w:val="none"/>
          <w:lang w:val="en-US" w:eastAsia="zh-CN"/>
        </w:rPr>
        <w:t>中</w:t>
      </w:r>
      <w:r>
        <w:rPr>
          <w:rFonts w:hint="eastAsia" w:ascii="仿宋_GB2312" w:hAnsi="宋体" w:eastAsia="仿宋_GB2312"/>
          <w:color w:val="auto"/>
          <w:sz w:val="28"/>
          <w:szCs w:val="28"/>
          <w:highlight w:val="none"/>
        </w:rPr>
        <w:t>止</w:t>
      </w:r>
      <w:r>
        <w:rPr>
          <w:rFonts w:hint="eastAsia" w:ascii="仿宋_GB2312" w:hAnsi="宋体" w:eastAsia="仿宋_GB2312"/>
          <w:color w:val="auto"/>
          <w:sz w:val="28"/>
          <w:szCs w:val="28"/>
          <w:highlight w:val="none"/>
          <w:lang w:val="en-US" w:eastAsia="zh-CN"/>
        </w:rPr>
        <w:t>物业空间经营行为</w:t>
      </w:r>
      <w:r>
        <w:rPr>
          <w:rFonts w:hint="eastAsia" w:ascii="仿宋_GB2312" w:hAnsi="宋体" w:eastAsia="仿宋_GB2312"/>
          <w:color w:val="auto"/>
          <w:sz w:val="28"/>
          <w:szCs w:val="28"/>
          <w:highlight w:val="none"/>
        </w:rPr>
        <w:t>、调整</w:t>
      </w:r>
      <w:r>
        <w:rPr>
          <w:rFonts w:hint="eastAsia" w:ascii="仿宋_GB2312" w:hAnsi="宋体" w:eastAsia="仿宋_GB2312"/>
          <w:color w:val="auto"/>
          <w:sz w:val="28"/>
          <w:szCs w:val="28"/>
          <w:highlight w:val="none"/>
          <w:lang w:val="en-US" w:eastAsia="zh-CN"/>
        </w:rPr>
        <w:t>物业空间租赁范围的权利</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rPr>
        <w:t>应无条件服从</w:t>
      </w:r>
      <w:r>
        <w:rPr>
          <w:rFonts w:hint="eastAsia" w:ascii="仿宋_GB2312" w:hAnsi="宋体" w:eastAsia="仿宋_GB2312"/>
          <w:color w:val="auto"/>
          <w:sz w:val="28"/>
          <w:szCs w:val="28"/>
          <w:highlight w:val="none"/>
          <w:lang w:val="en-US" w:eastAsia="zh-CN"/>
        </w:rPr>
        <w:t>并给予积极配合</w:t>
      </w:r>
      <w:r>
        <w:rPr>
          <w:rFonts w:hint="eastAsia" w:ascii="仿宋_GB2312" w:hAnsi="宋体" w:eastAsia="仿宋_GB2312"/>
          <w:color w:val="auto"/>
          <w:sz w:val="28"/>
          <w:szCs w:val="28"/>
          <w:highlight w:val="none"/>
        </w:rPr>
        <w:t>。</w:t>
      </w:r>
    </w:p>
    <w:p>
      <w:pPr>
        <w:overflowPunct w:val="0"/>
        <w:autoSpaceDE w:val="0"/>
        <w:ind w:firstLine="520" w:firstLineChars="186"/>
        <w:jc w:val="left"/>
        <w:rPr>
          <w:rFonts w:hint="eastAsia" w:ascii="仿宋_GB2312" w:hAnsi="宋体" w:eastAsia="仿宋_GB2312"/>
          <w:color w:val="auto"/>
          <w:sz w:val="28"/>
          <w:szCs w:val="28"/>
          <w:highlight w:val="none"/>
          <w:lang w:eastAsia="zh-CN"/>
        </w:rPr>
      </w:pPr>
      <w:r>
        <w:rPr>
          <w:rFonts w:hint="eastAsia" w:ascii="仿宋_GB2312" w:hAnsi="宋体" w:eastAsia="仿宋_GB2312"/>
          <w:color w:val="auto"/>
          <w:sz w:val="28"/>
          <w:szCs w:val="28"/>
          <w:highlight w:val="none"/>
        </w:rPr>
        <w:t>2.5</w:t>
      </w:r>
      <w:r>
        <w:rPr>
          <w:rFonts w:hint="eastAsia" w:ascii="仿宋_GB2312" w:hAnsi="宋体" w:eastAsia="仿宋_GB2312"/>
          <w:color w:val="auto"/>
          <w:sz w:val="28"/>
          <w:szCs w:val="28"/>
          <w:highlight w:val="none"/>
          <w:lang w:val="en-US" w:eastAsia="zh-CN"/>
        </w:rPr>
        <w:t>.</w:t>
      </w:r>
      <w:r>
        <w:rPr>
          <w:rFonts w:hint="eastAsia" w:ascii="仿宋_GB2312" w:hAnsi="宋体" w:eastAsia="仿宋_GB2312"/>
          <w:color w:val="auto"/>
          <w:sz w:val="28"/>
          <w:szCs w:val="28"/>
          <w:highlight w:val="none"/>
          <w:lang w:eastAsia="zh-CN"/>
        </w:rPr>
        <w:t>2</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lang w:val="en-US" w:eastAsia="zh-CN"/>
        </w:rPr>
        <w:t>明确知晓</w:t>
      </w:r>
      <w:r>
        <w:rPr>
          <w:rFonts w:hint="eastAsia" w:ascii="仿宋_GB2312" w:hAnsi="宋体" w:eastAsia="仿宋_GB2312"/>
          <w:color w:val="auto"/>
          <w:sz w:val="28"/>
          <w:szCs w:val="28"/>
          <w:highlight w:val="none"/>
        </w:rPr>
        <w:t>并同意</w:t>
      </w:r>
      <w:r>
        <w:rPr>
          <w:rFonts w:hint="eastAsia" w:ascii="仿宋_GB2312" w:hAnsi="宋体" w:eastAsia="仿宋_GB2312"/>
          <w:color w:val="auto"/>
          <w:sz w:val="28"/>
          <w:szCs w:val="28"/>
          <w:highlight w:val="none"/>
          <w:lang w:val="en-US" w:eastAsia="zh-CN"/>
        </w:rPr>
        <w:t>物业空间</w:t>
      </w:r>
      <w:r>
        <w:rPr>
          <w:rFonts w:hint="eastAsia" w:ascii="仿宋_GB2312" w:hAnsi="宋体" w:eastAsia="仿宋_GB2312"/>
          <w:color w:val="auto"/>
          <w:sz w:val="28"/>
          <w:szCs w:val="28"/>
          <w:highlight w:val="none"/>
        </w:rPr>
        <w:t>的经营须配合</w:t>
      </w:r>
      <w:r>
        <w:rPr>
          <w:rFonts w:hint="eastAsia" w:ascii="仿宋_GB2312" w:hAnsi="宋体" w:eastAsia="仿宋_GB2312"/>
          <w:color w:val="auto"/>
          <w:sz w:val="28"/>
          <w:szCs w:val="28"/>
          <w:highlight w:val="none"/>
          <w:lang w:val="en-US" w:eastAsia="zh-CN"/>
        </w:rPr>
        <w:t>轨道交通运营</w:t>
      </w:r>
      <w:r>
        <w:rPr>
          <w:rFonts w:hint="eastAsia" w:ascii="仿宋_GB2312" w:hAnsi="宋体" w:eastAsia="仿宋_GB2312"/>
          <w:color w:val="auto"/>
          <w:sz w:val="28"/>
          <w:szCs w:val="28"/>
          <w:highlight w:val="none"/>
        </w:rPr>
        <w:t>客运服务，</w:t>
      </w:r>
      <w:r>
        <w:rPr>
          <w:rFonts w:hint="eastAsia" w:ascii="仿宋_GB2312" w:hAnsi="宋体" w:eastAsia="仿宋_GB2312"/>
          <w:color w:val="auto"/>
          <w:sz w:val="28"/>
          <w:szCs w:val="28"/>
          <w:highlight w:val="none"/>
          <w:lang w:val="en-US" w:eastAsia="zh-CN"/>
        </w:rPr>
        <w:t>应</w:t>
      </w:r>
      <w:r>
        <w:rPr>
          <w:rFonts w:hint="eastAsia" w:ascii="仿宋_GB2312" w:hAnsi="宋体" w:eastAsia="仿宋_GB2312"/>
          <w:color w:val="auto"/>
          <w:sz w:val="28"/>
          <w:szCs w:val="28"/>
          <w:highlight w:val="none"/>
        </w:rPr>
        <w:t>避免与经营线路内的系统</w:t>
      </w:r>
      <w:r>
        <w:rPr>
          <w:rFonts w:hint="eastAsia" w:ascii="仿宋_GB2312" w:hAnsi="宋体" w:eastAsia="仿宋_GB2312"/>
          <w:color w:val="auto"/>
          <w:sz w:val="28"/>
          <w:szCs w:val="28"/>
          <w:highlight w:val="none"/>
          <w:lang w:val="en-US" w:eastAsia="zh-CN"/>
        </w:rPr>
        <w:t>产生</w:t>
      </w:r>
      <w:r>
        <w:rPr>
          <w:rFonts w:hint="eastAsia" w:ascii="仿宋_GB2312" w:hAnsi="宋体" w:eastAsia="仿宋_GB2312"/>
          <w:color w:val="auto"/>
          <w:sz w:val="28"/>
          <w:szCs w:val="28"/>
          <w:highlight w:val="none"/>
        </w:rPr>
        <w:t>冲突、干扰</w:t>
      </w:r>
      <w:r>
        <w:rPr>
          <w:rFonts w:hint="eastAsia" w:ascii="仿宋_GB2312" w:hAnsi="宋体" w:eastAsia="仿宋_GB2312"/>
          <w:color w:val="auto"/>
          <w:sz w:val="28"/>
          <w:szCs w:val="28"/>
          <w:highlight w:val="none"/>
          <w:lang w:val="en-US" w:eastAsia="zh-CN"/>
        </w:rPr>
        <w:t>或</w:t>
      </w:r>
      <w:r>
        <w:rPr>
          <w:rFonts w:hint="eastAsia" w:ascii="仿宋_GB2312" w:hAnsi="宋体" w:eastAsia="仿宋_GB2312"/>
          <w:color w:val="auto"/>
          <w:sz w:val="28"/>
          <w:szCs w:val="28"/>
          <w:highlight w:val="none"/>
        </w:rPr>
        <w:t>对乘客造成滋扰</w:t>
      </w:r>
      <w:r>
        <w:rPr>
          <w:rFonts w:hint="eastAsia" w:ascii="仿宋_GB2312" w:hAnsi="宋体" w:eastAsia="仿宋_GB2312"/>
          <w:color w:val="auto"/>
          <w:sz w:val="28"/>
          <w:szCs w:val="28"/>
          <w:highlight w:val="none"/>
          <w:lang w:val="en-US" w:eastAsia="zh-CN"/>
        </w:rPr>
        <w:t>等</w:t>
      </w:r>
      <w:r>
        <w:rPr>
          <w:rFonts w:hint="eastAsia" w:ascii="仿宋_GB2312" w:hAnsi="宋体" w:eastAsia="仿宋_GB2312"/>
          <w:color w:val="auto"/>
          <w:sz w:val="28"/>
          <w:szCs w:val="28"/>
          <w:highlight w:val="none"/>
        </w:rPr>
        <w:t>消极影响</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并按</w:t>
      </w:r>
      <w:r>
        <w:rPr>
          <w:rFonts w:hint="eastAsia"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提出的合理要求</w:t>
      </w:r>
      <w:r>
        <w:rPr>
          <w:rFonts w:hint="eastAsia" w:ascii="仿宋_GB2312" w:hAnsi="宋体" w:eastAsia="仿宋_GB2312"/>
          <w:color w:val="auto"/>
          <w:sz w:val="28"/>
          <w:szCs w:val="28"/>
          <w:highlight w:val="none"/>
          <w:lang w:val="en-US" w:eastAsia="zh-CN"/>
        </w:rPr>
        <w:t>进行及时、积极、高效</w:t>
      </w:r>
      <w:r>
        <w:rPr>
          <w:rFonts w:hint="eastAsia" w:ascii="仿宋_GB2312" w:hAnsi="宋体" w:eastAsia="仿宋_GB2312"/>
          <w:color w:val="auto"/>
          <w:sz w:val="28"/>
          <w:szCs w:val="28"/>
          <w:highlight w:val="none"/>
        </w:rPr>
        <w:t>解决。</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rPr>
        <w:t>2.5</w:t>
      </w:r>
      <w:r>
        <w:rPr>
          <w:rFonts w:hint="eastAsia" w:ascii="仿宋_GB2312" w:hAnsi="宋体" w:eastAsia="仿宋_GB2312"/>
          <w:color w:val="auto"/>
          <w:sz w:val="28"/>
          <w:szCs w:val="28"/>
          <w:highlight w:val="none"/>
          <w:lang w:val="en-US" w:eastAsia="zh-CN"/>
        </w:rPr>
        <w:t>.</w:t>
      </w:r>
      <w:r>
        <w:rPr>
          <w:rFonts w:hint="eastAsia" w:ascii="仿宋_GB2312" w:hAnsi="宋体" w:eastAsia="仿宋_GB2312"/>
          <w:color w:val="auto"/>
          <w:sz w:val="28"/>
          <w:szCs w:val="28"/>
          <w:highlight w:val="none"/>
          <w:lang w:eastAsia="zh-CN"/>
        </w:rPr>
        <w:t>3</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lang w:eastAsia="zh-CN"/>
        </w:rPr>
        <w:t>乙方</w:t>
      </w:r>
      <w:r>
        <w:rPr>
          <w:rFonts w:hint="eastAsia" w:ascii="仿宋_GB2312" w:hAnsi="宋体" w:eastAsia="仿宋_GB2312"/>
          <w:color w:val="auto"/>
          <w:sz w:val="28"/>
          <w:szCs w:val="28"/>
          <w:highlight w:val="none"/>
          <w:lang w:val="en-US" w:eastAsia="zh-CN"/>
        </w:rPr>
        <w:t>明确知晓</w:t>
      </w:r>
      <w:r>
        <w:rPr>
          <w:rFonts w:hint="eastAsia" w:ascii="仿宋_GB2312" w:hAnsi="宋体" w:eastAsia="仿宋_GB2312"/>
          <w:color w:val="auto"/>
          <w:sz w:val="28"/>
          <w:szCs w:val="28"/>
          <w:highlight w:val="none"/>
        </w:rPr>
        <w:t>并同意鉴于地铁的特殊性和公益性，</w:t>
      </w:r>
      <w:r>
        <w:rPr>
          <w:rFonts w:hint="eastAsia" w:ascii="仿宋_GB2312" w:hAnsi="宋体" w:eastAsia="仿宋_GB2312"/>
          <w:color w:val="auto"/>
          <w:sz w:val="28"/>
          <w:szCs w:val="28"/>
          <w:highlight w:val="none"/>
          <w:lang w:eastAsia="zh-CN"/>
        </w:rPr>
        <w:t>甲方</w:t>
      </w:r>
      <w:r>
        <w:rPr>
          <w:rFonts w:hint="eastAsia" w:ascii="仿宋_GB2312" w:hAnsi="宋体" w:eastAsia="仿宋_GB2312"/>
          <w:color w:val="auto"/>
          <w:sz w:val="28"/>
          <w:szCs w:val="28"/>
          <w:highlight w:val="none"/>
        </w:rPr>
        <w:t>有权根据实际情况</w:t>
      </w:r>
      <w:r>
        <w:rPr>
          <w:rFonts w:hint="eastAsia" w:ascii="仿宋_GB2312" w:hAnsi="宋体" w:eastAsia="仿宋_GB2312"/>
          <w:color w:val="auto"/>
          <w:sz w:val="28"/>
          <w:szCs w:val="28"/>
          <w:highlight w:val="none"/>
          <w:lang w:val="en-US" w:eastAsia="zh-CN"/>
        </w:rPr>
        <w:t>对</w:t>
      </w:r>
      <w:r>
        <w:rPr>
          <w:rFonts w:hint="eastAsia" w:ascii="仿宋_GB2312" w:hAnsi="宋体" w:eastAsia="仿宋_GB2312"/>
          <w:color w:val="auto"/>
          <w:sz w:val="28"/>
          <w:szCs w:val="28"/>
          <w:highlight w:val="none"/>
        </w:rPr>
        <w:t>经营线路</w:t>
      </w:r>
      <w:r>
        <w:rPr>
          <w:rFonts w:hint="eastAsia" w:ascii="仿宋_GB2312" w:hAnsi="宋体" w:eastAsia="仿宋_GB2312"/>
          <w:color w:val="auto"/>
          <w:sz w:val="28"/>
          <w:szCs w:val="28"/>
          <w:highlight w:val="none"/>
          <w:lang w:val="en-US" w:eastAsia="zh-CN"/>
        </w:rPr>
        <w:t>开展必要的</w:t>
      </w:r>
      <w:r>
        <w:rPr>
          <w:rFonts w:hint="eastAsia" w:ascii="仿宋_GB2312" w:hAnsi="宋体" w:eastAsia="仿宋_GB2312"/>
          <w:color w:val="auto"/>
          <w:sz w:val="28"/>
          <w:szCs w:val="28"/>
          <w:highlight w:val="none"/>
        </w:rPr>
        <w:t>检查、维护</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修复</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建设</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应急疏散、演习</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甚至</w:t>
      </w:r>
      <w:r>
        <w:rPr>
          <w:rFonts w:hint="eastAsia" w:ascii="仿宋_GB2312" w:hAnsi="宋体" w:eastAsia="仿宋_GB2312"/>
          <w:color w:val="auto"/>
          <w:sz w:val="28"/>
          <w:szCs w:val="28"/>
          <w:highlight w:val="none"/>
        </w:rPr>
        <w:t>中断经营线路</w:t>
      </w:r>
      <w:r>
        <w:rPr>
          <w:rFonts w:hint="eastAsia" w:ascii="仿宋_GB2312" w:hAnsi="宋体" w:eastAsia="仿宋_GB2312"/>
          <w:color w:val="auto"/>
          <w:sz w:val="28"/>
          <w:szCs w:val="28"/>
          <w:highlight w:val="none"/>
          <w:lang w:val="en-US" w:eastAsia="zh-CN"/>
        </w:rPr>
        <w:t>或车站</w:t>
      </w:r>
      <w:r>
        <w:rPr>
          <w:rFonts w:hint="eastAsia" w:ascii="仿宋_GB2312" w:hAnsi="宋体" w:eastAsia="仿宋_GB2312"/>
          <w:color w:val="auto"/>
          <w:sz w:val="28"/>
          <w:szCs w:val="28"/>
          <w:highlight w:val="none"/>
        </w:rPr>
        <w:t>运营</w:t>
      </w:r>
      <w:r>
        <w:rPr>
          <w:rFonts w:hint="eastAsia" w:ascii="仿宋_GB2312" w:hAnsi="宋体" w:eastAsia="仿宋_GB2312"/>
          <w:color w:val="auto"/>
          <w:sz w:val="28"/>
          <w:szCs w:val="28"/>
          <w:highlight w:val="none"/>
          <w:lang w:val="en-US" w:eastAsia="zh-CN"/>
        </w:rPr>
        <w:t>，因此给乙方的经营带来影响时，乙方不得据此向甲方提出租金调整、延长租期或其他赔偿诉求。</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eastAsia="zh-CN"/>
        </w:rPr>
        <w:t>2.5</w:t>
      </w:r>
      <w:r>
        <w:rPr>
          <w:rFonts w:hint="eastAsia" w:ascii="仿宋_GB2312" w:hAnsi="宋体" w:eastAsia="仿宋_GB2312"/>
          <w:color w:val="auto"/>
          <w:sz w:val="28"/>
          <w:szCs w:val="28"/>
          <w:highlight w:val="none"/>
          <w:lang w:val="en-US" w:eastAsia="zh-CN"/>
        </w:rPr>
        <w:t>.4 乙方在物业空间运营后应及时与地铁运营单位签署联合运营安全管理协议，明确乙方与地铁运营单位相关职责。</w:t>
      </w:r>
    </w:p>
    <w:p>
      <w:pPr>
        <w:overflowPunct/>
        <w:autoSpaceDE/>
        <w:ind w:firstLine="562" w:firstLineChars="200"/>
        <w:jc w:val="left"/>
        <w:outlineLvl w:val="9"/>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第三条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出租标的概况</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3.1 出租标的范围、清单</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default" w:ascii="仿宋_GB2312" w:hAnsi="宋体" w:eastAsia="仿宋_GB2312"/>
          <w:color w:val="auto"/>
          <w:sz w:val="28"/>
          <w:szCs w:val="28"/>
          <w:highlight w:val="none"/>
          <w:lang w:val="en-US" w:eastAsia="zh-CN"/>
        </w:rPr>
        <w:t>贵阳轨道交通</w:t>
      </w:r>
      <w:r>
        <w:rPr>
          <w:rFonts w:hint="eastAsia" w:ascii="仿宋_GB2312" w:hAnsi="宋体" w:eastAsia="仿宋_GB2312"/>
          <w:color w:val="auto"/>
          <w:sz w:val="28"/>
          <w:szCs w:val="28"/>
          <w:highlight w:val="none"/>
          <w:lang w:val="en-US" w:eastAsia="zh-CN"/>
        </w:rPr>
        <w:t>1号线贵阳火车站</w:t>
      </w:r>
      <w:r>
        <w:rPr>
          <w:rFonts w:hint="default" w:ascii="仿宋_GB2312" w:hAnsi="宋体" w:eastAsia="仿宋_GB2312"/>
          <w:color w:val="auto"/>
          <w:sz w:val="28"/>
          <w:szCs w:val="28"/>
          <w:highlight w:val="none"/>
          <w:lang w:val="en-US" w:eastAsia="zh-CN"/>
        </w:rPr>
        <w:t>物业空间，总建筑面积</w:t>
      </w:r>
      <w:r>
        <w:rPr>
          <w:rFonts w:hint="eastAsia" w:ascii="仿宋_GB2312" w:hAnsi="宋体" w:eastAsia="仿宋_GB2312"/>
          <w:color w:val="auto"/>
          <w:sz w:val="28"/>
          <w:szCs w:val="28"/>
          <w:highlight w:val="none"/>
          <w:lang w:val="en-US" w:eastAsia="zh-CN"/>
        </w:rPr>
        <w:t>3327.83平方米，</w:t>
      </w:r>
      <w:r>
        <w:rPr>
          <w:rFonts w:hint="default" w:ascii="仿宋_GB2312" w:hAnsi="宋体" w:eastAsia="仿宋_GB2312"/>
          <w:color w:val="auto"/>
          <w:sz w:val="28"/>
          <w:szCs w:val="28"/>
          <w:highlight w:val="none"/>
          <w:lang w:val="en-US" w:eastAsia="zh-CN"/>
        </w:rPr>
        <w:t>包含计租面积</w:t>
      </w:r>
      <w:r>
        <w:rPr>
          <w:rFonts w:hint="eastAsia" w:ascii="仿宋_GB2312" w:hAnsi="宋体" w:eastAsia="仿宋_GB2312"/>
          <w:color w:val="auto"/>
          <w:sz w:val="28"/>
          <w:szCs w:val="28"/>
          <w:highlight w:val="none"/>
          <w:lang w:val="en-US" w:eastAsia="zh-CN"/>
        </w:rPr>
        <w:t>2554.97</w:t>
      </w:r>
      <w:r>
        <w:rPr>
          <w:rFonts w:hint="default" w:ascii="仿宋_GB2312" w:hAnsi="宋体" w:eastAsia="仿宋_GB2312"/>
          <w:color w:val="auto"/>
          <w:sz w:val="28"/>
          <w:szCs w:val="28"/>
          <w:highlight w:val="none"/>
          <w:lang w:val="en-US" w:eastAsia="zh-CN"/>
        </w:rPr>
        <w:t>平方米和出入口通道</w:t>
      </w:r>
      <w:r>
        <w:rPr>
          <w:rFonts w:hint="eastAsia" w:ascii="仿宋_GB2312" w:hAnsi="仿宋_GB2312" w:eastAsia="仿宋_GB2312" w:cs="仿宋_GB2312"/>
          <w:b w:val="0"/>
          <w:bCs/>
          <w:sz w:val="28"/>
          <w:szCs w:val="28"/>
          <w:lang w:val="en-US" w:eastAsia="zh-CN"/>
        </w:rPr>
        <w:t>（含用于消防疏散的下沉式广场）</w:t>
      </w:r>
      <w:r>
        <w:rPr>
          <w:rFonts w:hint="default" w:ascii="仿宋_GB2312" w:hAnsi="宋体" w:eastAsia="仿宋_GB2312"/>
          <w:color w:val="auto"/>
          <w:sz w:val="28"/>
          <w:szCs w:val="28"/>
          <w:highlight w:val="none"/>
          <w:lang w:val="en-US" w:eastAsia="zh-CN"/>
        </w:rPr>
        <w:t>面积</w:t>
      </w:r>
      <w:r>
        <w:rPr>
          <w:rFonts w:hint="eastAsia" w:ascii="仿宋_GB2312" w:hAnsi="宋体" w:eastAsia="仿宋_GB2312"/>
          <w:color w:val="auto"/>
          <w:sz w:val="28"/>
          <w:szCs w:val="28"/>
          <w:highlight w:val="none"/>
          <w:lang w:val="en-US" w:eastAsia="zh-CN"/>
        </w:rPr>
        <w:t>772.86</w:t>
      </w:r>
      <w:r>
        <w:rPr>
          <w:rFonts w:hint="default" w:ascii="仿宋_GB2312" w:hAnsi="宋体" w:eastAsia="仿宋_GB2312"/>
          <w:color w:val="auto"/>
          <w:sz w:val="28"/>
          <w:szCs w:val="28"/>
          <w:highlight w:val="none"/>
          <w:lang w:val="en-US" w:eastAsia="zh-CN"/>
        </w:rPr>
        <w:t>平方米两部分。</w:t>
      </w:r>
      <w:r>
        <w:rPr>
          <w:rFonts w:hint="eastAsia" w:ascii="仿宋_GB2312" w:hAnsi="宋体" w:eastAsia="仿宋_GB2312"/>
          <w:color w:val="auto"/>
          <w:sz w:val="28"/>
          <w:szCs w:val="28"/>
          <w:highlight w:val="none"/>
          <w:lang w:val="en-US" w:eastAsia="zh-CN"/>
        </w:rPr>
        <w:t>具体如下：</w:t>
      </w:r>
    </w:p>
    <w:tbl>
      <w:tblPr>
        <w:tblStyle w:val="14"/>
        <w:tblW w:w="7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4"/>
        <w:gridCol w:w="1705"/>
        <w:gridCol w:w="1816"/>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424" w:type="dxa"/>
            <w:vMerge w:val="restart"/>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车站名称</w:t>
            </w:r>
          </w:p>
        </w:tc>
        <w:tc>
          <w:tcPr>
            <w:tcW w:w="5956" w:type="dxa"/>
            <w:gridSpan w:val="3"/>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424" w:type="dxa"/>
            <w:vMerge w:val="continue"/>
            <w:shd w:val="clear" w:color="auto" w:fill="auto"/>
            <w:vAlign w:val="center"/>
          </w:tcPr>
          <w:p>
            <w:pPr>
              <w:jc w:val="center"/>
              <w:rPr>
                <w:rFonts w:hint="eastAsia" w:ascii="仿宋_GB2312" w:hAnsi="仿宋_GB2312" w:eastAsia="仿宋_GB2312" w:cs="仿宋_GB2312"/>
                <w:color w:val="auto"/>
                <w:sz w:val="24"/>
                <w:szCs w:val="24"/>
                <w:highlight w:val="none"/>
              </w:rPr>
            </w:pPr>
          </w:p>
        </w:tc>
        <w:tc>
          <w:tcPr>
            <w:tcW w:w="1705" w:type="dxa"/>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计租</w:t>
            </w:r>
            <w:r>
              <w:rPr>
                <w:rFonts w:hint="eastAsia" w:ascii="仿宋_GB2312" w:hAnsi="仿宋_GB2312" w:eastAsia="仿宋_GB2312" w:cs="仿宋_GB2312"/>
                <w:color w:val="auto"/>
                <w:kern w:val="0"/>
                <w:sz w:val="24"/>
                <w:szCs w:val="24"/>
                <w:highlight w:val="none"/>
                <w:lang w:bidi="ar"/>
              </w:rPr>
              <w:t>面积（</w:t>
            </w:r>
            <w:r>
              <w:rPr>
                <w:rStyle w:val="36"/>
                <w:rFonts w:hint="eastAsia" w:ascii="仿宋_GB2312" w:hAnsi="仿宋_GB2312" w:eastAsia="仿宋_GB2312" w:cs="仿宋_GB2312"/>
                <w:color w:val="auto"/>
                <w:sz w:val="24"/>
                <w:szCs w:val="24"/>
                <w:highlight w:val="none"/>
                <w:lang w:bidi="ar"/>
              </w:rPr>
              <w:t>㎡）</w:t>
            </w:r>
          </w:p>
        </w:tc>
        <w:tc>
          <w:tcPr>
            <w:tcW w:w="1816" w:type="dxa"/>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出入口通道</w:t>
            </w:r>
            <w:r>
              <w:rPr>
                <w:rFonts w:hint="eastAsia" w:ascii="仿宋_GB2312" w:hAnsi="仿宋_GB2312" w:eastAsia="仿宋_GB2312" w:cs="仿宋_GB2312"/>
                <w:b w:val="0"/>
                <w:bCs w:val="0"/>
                <w:color w:val="auto"/>
                <w:kern w:val="0"/>
                <w:sz w:val="24"/>
                <w:szCs w:val="24"/>
                <w:highlight w:val="none"/>
                <w:lang w:val="en-US" w:eastAsia="zh-CN" w:bidi="ar"/>
              </w:rPr>
              <w:t>（含用于消防疏散的下沉式广场）</w:t>
            </w:r>
            <w:r>
              <w:rPr>
                <w:rFonts w:hint="eastAsia" w:ascii="仿宋_GB2312" w:hAnsi="仿宋_GB2312" w:eastAsia="仿宋_GB2312" w:cs="仿宋_GB2312"/>
                <w:color w:val="auto"/>
                <w:kern w:val="0"/>
                <w:sz w:val="24"/>
                <w:szCs w:val="24"/>
                <w:highlight w:val="none"/>
                <w:lang w:bidi="ar"/>
              </w:rPr>
              <w:t>面积（</w:t>
            </w:r>
            <w:r>
              <w:rPr>
                <w:rStyle w:val="36"/>
                <w:rFonts w:hint="eastAsia" w:ascii="仿宋_GB2312" w:hAnsi="仿宋_GB2312" w:eastAsia="仿宋_GB2312" w:cs="仿宋_GB2312"/>
                <w:color w:val="auto"/>
                <w:sz w:val="24"/>
                <w:szCs w:val="24"/>
                <w:highlight w:val="none"/>
                <w:lang w:bidi="ar"/>
              </w:rPr>
              <w:t>㎡）</w:t>
            </w:r>
          </w:p>
        </w:tc>
        <w:tc>
          <w:tcPr>
            <w:tcW w:w="2435" w:type="dxa"/>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总</w:t>
            </w:r>
            <w:r>
              <w:rPr>
                <w:rFonts w:hint="eastAsia" w:ascii="仿宋_GB2312" w:hAnsi="仿宋_GB2312" w:eastAsia="仿宋_GB2312" w:cs="仿宋_GB2312"/>
                <w:color w:val="auto"/>
                <w:kern w:val="0"/>
                <w:sz w:val="24"/>
                <w:szCs w:val="24"/>
                <w:highlight w:val="none"/>
                <w:lang w:val="en-US" w:eastAsia="zh-CN" w:bidi="ar"/>
              </w:rPr>
              <w:t>建筑</w:t>
            </w:r>
            <w:r>
              <w:rPr>
                <w:rFonts w:hint="eastAsia" w:ascii="仿宋_GB2312" w:hAnsi="仿宋_GB2312" w:eastAsia="仿宋_GB2312" w:cs="仿宋_GB2312"/>
                <w:color w:val="auto"/>
                <w:kern w:val="0"/>
                <w:sz w:val="24"/>
                <w:szCs w:val="24"/>
                <w:highlight w:val="none"/>
                <w:lang w:bidi="ar"/>
              </w:rPr>
              <w:t>面积（</w:t>
            </w:r>
            <w:r>
              <w:rPr>
                <w:rStyle w:val="36"/>
                <w:rFonts w:hint="eastAsia" w:ascii="仿宋_GB2312" w:hAnsi="仿宋_GB2312" w:eastAsia="仿宋_GB2312" w:cs="仿宋_GB2312"/>
                <w:color w:val="auto"/>
                <w:sz w:val="24"/>
                <w:szCs w:val="24"/>
                <w:highlight w:val="none"/>
                <w:lang w:bidi="ar"/>
              </w:rPr>
              <w:t>㎡）(a+b=c)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424" w:type="dxa"/>
            <w:vMerge w:val="continue"/>
            <w:shd w:val="clear" w:color="auto" w:fill="auto"/>
            <w:vAlign w:val="center"/>
          </w:tcPr>
          <w:p>
            <w:pPr>
              <w:jc w:val="center"/>
              <w:rPr>
                <w:rFonts w:hint="eastAsia" w:ascii="仿宋_GB2312" w:hAnsi="仿宋_GB2312" w:eastAsia="仿宋_GB2312" w:cs="仿宋_GB2312"/>
                <w:color w:val="auto"/>
                <w:sz w:val="24"/>
                <w:szCs w:val="24"/>
                <w:highlight w:val="none"/>
              </w:rPr>
            </w:pPr>
          </w:p>
        </w:tc>
        <w:tc>
          <w:tcPr>
            <w:tcW w:w="1705" w:type="dxa"/>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a</w:t>
            </w:r>
          </w:p>
        </w:tc>
        <w:tc>
          <w:tcPr>
            <w:tcW w:w="1816" w:type="dxa"/>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b</w:t>
            </w:r>
          </w:p>
        </w:tc>
        <w:tc>
          <w:tcPr>
            <w:tcW w:w="2435" w:type="dxa"/>
            <w:shd w:val="clear" w:color="auto" w:fill="auto"/>
            <w:vAlign w:val="center"/>
          </w:tcPr>
          <w:p>
            <w:pPr>
              <w:widowControl/>
              <w:jc w:val="center"/>
              <w:textAlignment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424" w:type="dxa"/>
            <w:shd w:val="clear" w:color="auto" w:fill="auto"/>
            <w:vAlign w:val="center"/>
          </w:tcPr>
          <w:p>
            <w:pPr>
              <w:widowControl/>
              <w:jc w:val="center"/>
              <w:textAlignment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lang w:val="en-US" w:eastAsia="zh-CN"/>
              </w:rPr>
              <w:t>贵阳火车站</w:t>
            </w:r>
          </w:p>
        </w:tc>
        <w:tc>
          <w:tcPr>
            <w:tcW w:w="1705" w:type="dxa"/>
            <w:shd w:val="clear" w:color="auto" w:fill="auto"/>
            <w:vAlign w:val="center"/>
          </w:tcPr>
          <w:p>
            <w:pPr>
              <w:widowControl/>
              <w:jc w:val="center"/>
              <w:textAlignment w:val="center"/>
              <w:rPr>
                <w:rFonts w:ascii="仿宋_GB2312" w:hAnsi="仿宋_GB2312" w:eastAsia="仿宋_GB2312" w:cs="仿宋_GB2312"/>
                <w:color w:val="auto"/>
                <w:highlight w:val="none"/>
              </w:rPr>
            </w:pPr>
            <w:r>
              <w:rPr>
                <w:rFonts w:hint="eastAsia" w:ascii="仿宋_GB2312" w:hAnsi="仿宋_GB2312" w:eastAsia="仿宋_GB2312" w:cs="仿宋_GB2312"/>
                <w:color w:val="auto"/>
                <w:kern w:val="0"/>
                <w:sz w:val="24"/>
                <w:szCs w:val="24"/>
                <w:lang w:val="en-US" w:eastAsia="zh-CN"/>
              </w:rPr>
              <w:t>2554.97</w:t>
            </w:r>
          </w:p>
        </w:tc>
        <w:tc>
          <w:tcPr>
            <w:tcW w:w="1816" w:type="dxa"/>
            <w:shd w:val="clear" w:color="auto" w:fill="auto"/>
            <w:vAlign w:val="center"/>
          </w:tcPr>
          <w:p>
            <w:pPr>
              <w:widowControl/>
              <w:jc w:val="center"/>
              <w:textAlignment w:val="center"/>
              <w:rPr>
                <w:rFonts w:ascii="仿宋_GB2312" w:hAnsi="仿宋_GB2312" w:eastAsia="仿宋_GB2312" w:cs="仿宋_GB2312"/>
                <w:color w:val="auto"/>
                <w:highlight w:val="none"/>
              </w:rPr>
            </w:pPr>
            <w:r>
              <w:rPr>
                <w:rFonts w:hint="eastAsia" w:ascii="仿宋_GB2312" w:hAnsi="仿宋_GB2312" w:eastAsia="仿宋_GB2312" w:cs="仿宋_GB2312"/>
                <w:color w:val="auto"/>
                <w:kern w:val="0"/>
                <w:sz w:val="24"/>
                <w:szCs w:val="24"/>
                <w:lang w:val="en-US" w:eastAsia="zh-CN"/>
              </w:rPr>
              <w:t>772.86</w:t>
            </w:r>
          </w:p>
        </w:tc>
        <w:tc>
          <w:tcPr>
            <w:tcW w:w="2435" w:type="dxa"/>
            <w:shd w:val="clear" w:color="auto" w:fill="auto"/>
            <w:vAlign w:val="center"/>
          </w:tcPr>
          <w:p>
            <w:pPr>
              <w:widowControl/>
              <w:jc w:val="center"/>
              <w:textAlignment w:val="center"/>
              <w:rPr>
                <w:rFonts w:ascii="仿宋_GB2312" w:hAnsi="仿宋_GB2312" w:eastAsia="仿宋_GB2312" w:cs="仿宋_GB2312"/>
                <w:color w:val="auto"/>
                <w:highlight w:val="none"/>
              </w:rPr>
            </w:pPr>
            <w:r>
              <w:rPr>
                <w:rFonts w:hint="eastAsia" w:ascii="仿宋_GB2312" w:hAnsi="仿宋_GB2312" w:eastAsia="仿宋_GB2312" w:cs="仿宋_GB2312"/>
                <w:color w:val="auto"/>
                <w:kern w:val="0"/>
                <w:sz w:val="24"/>
                <w:szCs w:val="24"/>
                <w:lang w:val="en-US" w:eastAsia="zh-CN"/>
              </w:rPr>
              <w:t>3327.83</w:t>
            </w:r>
          </w:p>
        </w:tc>
      </w:tr>
    </w:tbl>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3.2 </w:t>
      </w:r>
      <w:r>
        <w:rPr>
          <w:rFonts w:hint="eastAsia" w:ascii="仿宋_GB2312" w:hAnsi="仿宋_GB2312" w:eastAsia="仿宋_GB2312" w:cs="仿宋_GB2312"/>
          <w:b w:val="0"/>
          <w:bCs/>
          <w:sz w:val="28"/>
          <w:szCs w:val="28"/>
          <w:lang w:val="en-US" w:eastAsia="zh-CN"/>
        </w:rPr>
        <w:t>计租面积为物业空间总建筑面积中扣除出入口通道及用于消防疏散的下沉式广场后的剩余面积。</w:t>
      </w:r>
    </w:p>
    <w:p>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 xml:space="preserve">3.3 </w:t>
      </w:r>
      <w:r>
        <w:rPr>
          <w:rFonts w:hint="eastAsia" w:ascii="仿宋_GB2312" w:hAnsi="宋体" w:eastAsia="仿宋_GB2312"/>
          <w:color w:val="auto"/>
          <w:sz w:val="28"/>
          <w:szCs w:val="28"/>
          <w:highlight w:val="none"/>
        </w:rPr>
        <w:t>最终</w:t>
      </w:r>
      <w:r>
        <w:rPr>
          <w:rFonts w:hint="eastAsia" w:ascii="仿宋_GB2312" w:hAnsi="宋体" w:eastAsia="仿宋_GB2312"/>
          <w:color w:val="auto"/>
          <w:sz w:val="28"/>
          <w:szCs w:val="28"/>
          <w:highlight w:val="none"/>
          <w:lang w:val="en-US" w:eastAsia="zh-CN"/>
        </w:rPr>
        <w:t>计租</w:t>
      </w:r>
      <w:r>
        <w:rPr>
          <w:rFonts w:hint="eastAsia" w:ascii="仿宋_GB2312" w:hAnsi="宋体" w:eastAsia="仿宋_GB2312"/>
          <w:color w:val="auto"/>
          <w:sz w:val="28"/>
          <w:szCs w:val="28"/>
          <w:highlight w:val="none"/>
        </w:rPr>
        <w:t>面积以实际交付为准（有异议时，以异议方委托</w:t>
      </w:r>
      <w:r>
        <w:rPr>
          <w:rFonts w:hint="eastAsia" w:ascii="仿宋_GB2312" w:hAnsi="宋体" w:eastAsia="仿宋_GB2312"/>
          <w:color w:val="auto"/>
          <w:sz w:val="28"/>
          <w:szCs w:val="28"/>
          <w:highlight w:val="none"/>
          <w:lang w:val="en-US" w:eastAsia="zh-CN"/>
        </w:rPr>
        <w:t>双方均认可的</w:t>
      </w:r>
      <w:r>
        <w:rPr>
          <w:rFonts w:hint="eastAsia" w:ascii="仿宋_GB2312" w:hAnsi="宋体" w:eastAsia="仿宋_GB2312"/>
          <w:color w:val="auto"/>
          <w:sz w:val="28"/>
          <w:szCs w:val="28"/>
          <w:highlight w:val="none"/>
        </w:rPr>
        <w:t>具有相关资质的第三方测绘单位实测数据为准），</w:t>
      </w:r>
      <w:r>
        <w:rPr>
          <w:rFonts w:hint="eastAsia" w:ascii="仿宋_GB2312" w:hAnsi="宋体" w:eastAsia="仿宋_GB2312"/>
          <w:color w:val="auto"/>
          <w:sz w:val="28"/>
          <w:szCs w:val="28"/>
          <w:highlight w:val="none"/>
          <w:lang w:val="en-US" w:eastAsia="zh-CN"/>
        </w:rPr>
        <w:t>实测数据与原计租</w:t>
      </w:r>
      <w:r>
        <w:rPr>
          <w:rFonts w:hint="eastAsia" w:ascii="仿宋_GB2312" w:hAnsi="宋体" w:eastAsia="仿宋_GB2312"/>
          <w:color w:val="auto"/>
          <w:sz w:val="28"/>
          <w:szCs w:val="28"/>
          <w:highlight w:val="none"/>
        </w:rPr>
        <w:t>面积误差</w:t>
      </w:r>
      <w:r>
        <w:rPr>
          <w:rFonts w:hint="eastAsia" w:ascii="仿宋_GB2312" w:hAnsi="宋体" w:eastAsia="仿宋_GB2312"/>
          <w:color w:val="auto"/>
          <w:sz w:val="28"/>
          <w:szCs w:val="28"/>
          <w:highlight w:val="none"/>
          <w:lang w:val="en-US" w:eastAsia="zh-CN"/>
        </w:rPr>
        <w:t>小于等于</w:t>
      </w:r>
      <w:r>
        <w:rPr>
          <w:rFonts w:hint="eastAsia" w:ascii="仿宋_GB2312" w:hAnsi="宋体" w:eastAsia="仿宋_GB2312"/>
          <w:color w:val="auto"/>
          <w:sz w:val="28"/>
          <w:szCs w:val="28"/>
          <w:highlight w:val="none"/>
        </w:rPr>
        <w:t>5%</w:t>
      </w:r>
      <w:r>
        <w:rPr>
          <w:rFonts w:hint="eastAsia" w:ascii="仿宋_GB2312" w:hAnsi="宋体" w:eastAsia="仿宋_GB2312"/>
          <w:color w:val="auto"/>
          <w:sz w:val="28"/>
          <w:szCs w:val="28"/>
          <w:highlight w:val="none"/>
          <w:lang w:val="en-US" w:eastAsia="zh-CN"/>
        </w:rPr>
        <w:t>时</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eastAsia="zh-CN"/>
        </w:rPr>
        <w:t>按</w:t>
      </w:r>
      <w:r>
        <w:rPr>
          <w:rFonts w:hint="eastAsia" w:ascii="仿宋_GB2312" w:hAnsi="宋体" w:eastAsia="仿宋_GB2312"/>
          <w:color w:val="auto"/>
          <w:sz w:val="28"/>
          <w:szCs w:val="28"/>
          <w:highlight w:val="none"/>
          <w:lang w:val="en-US" w:eastAsia="zh-CN"/>
        </w:rPr>
        <w:t>原计租面积计租</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val="en-US" w:eastAsia="zh-CN"/>
        </w:rPr>
        <w:t>实测数据与原计租</w:t>
      </w:r>
      <w:r>
        <w:rPr>
          <w:rFonts w:hint="eastAsia" w:ascii="仿宋_GB2312" w:hAnsi="宋体" w:eastAsia="仿宋_GB2312"/>
          <w:color w:val="auto"/>
          <w:sz w:val="28"/>
          <w:szCs w:val="28"/>
          <w:highlight w:val="none"/>
        </w:rPr>
        <w:t>面积误差</w:t>
      </w:r>
      <w:r>
        <w:rPr>
          <w:rFonts w:hint="eastAsia" w:ascii="仿宋_GB2312" w:hAnsi="宋体" w:eastAsia="仿宋_GB2312"/>
          <w:color w:val="auto"/>
          <w:sz w:val="28"/>
          <w:szCs w:val="28"/>
          <w:highlight w:val="none"/>
          <w:lang w:val="en-US" w:eastAsia="zh-CN"/>
        </w:rPr>
        <w:t>大于</w:t>
      </w:r>
      <w:r>
        <w:rPr>
          <w:rFonts w:hint="eastAsia" w:ascii="仿宋_GB2312" w:hAnsi="宋体" w:eastAsia="仿宋_GB2312"/>
          <w:color w:val="auto"/>
          <w:sz w:val="28"/>
          <w:szCs w:val="28"/>
          <w:highlight w:val="none"/>
        </w:rPr>
        <w:t>5%</w:t>
      </w:r>
      <w:r>
        <w:rPr>
          <w:rFonts w:hint="eastAsia" w:ascii="仿宋_GB2312" w:hAnsi="宋体" w:eastAsia="仿宋_GB2312"/>
          <w:color w:val="auto"/>
          <w:sz w:val="28"/>
          <w:szCs w:val="28"/>
          <w:highlight w:val="none"/>
          <w:lang w:val="en-US" w:eastAsia="zh-CN"/>
        </w:rPr>
        <w:t>时</w:t>
      </w:r>
      <w:r>
        <w:rPr>
          <w:rFonts w:hint="eastAsia" w:ascii="仿宋_GB2312" w:hAnsi="宋体" w:eastAsia="仿宋_GB2312"/>
          <w:color w:val="auto"/>
          <w:sz w:val="28"/>
          <w:szCs w:val="28"/>
          <w:highlight w:val="none"/>
        </w:rPr>
        <w:t>，按实际面积计租。</w:t>
      </w:r>
    </w:p>
    <w:p>
      <w:pPr>
        <w:overflowPunct w:val="0"/>
        <w:autoSpaceDE w:val="0"/>
        <w:ind w:firstLine="520" w:firstLineChars="186"/>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w:t>
      </w:r>
      <w:r>
        <w:rPr>
          <w:rFonts w:hint="eastAsia" w:ascii="仿宋_GB2312" w:hAnsi="宋体" w:eastAsia="仿宋_GB2312"/>
          <w:color w:val="auto"/>
          <w:sz w:val="28"/>
          <w:szCs w:val="28"/>
          <w:highlight w:val="none"/>
          <w:lang w:val="en-US" w:eastAsia="zh-CN"/>
        </w:rPr>
        <w:t>4</w:t>
      </w:r>
      <w:r>
        <w:rPr>
          <w:rFonts w:hint="eastAsia" w:ascii="仿宋_GB2312" w:hAnsi="宋体" w:eastAsia="仿宋_GB2312"/>
          <w:color w:val="auto"/>
          <w:sz w:val="28"/>
          <w:szCs w:val="28"/>
          <w:highlight w:val="none"/>
        </w:rPr>
        <w:t xml:space="preserve"> 出租标的现状</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3.4.1 物业空间按现状出租，现场仅完成了主体、出入口（下沉式广场）和风井混凝土结构施工并预留水电接入条件，具体实施及预留情况详见附件1《贵阳轨道交通1号线工程车站物业空间设置情况及预留措施统计表》，以下简称《预留措施表》。</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3.4.2 乙方须自行承担物业空间达到经营条件所需的其他工程建设、装饰装修及设施设备安装（包含但不限于主业不实施的物业出入口顶盖、外立面装饰、冷却塔、交通导向标识、与市政设施接驳、给排水、强弱电、通风空调、消防设备设施、电扶梯等工程内容的设计、采购、安装施工），并承担其后期维修维护费用。</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3.4.3 物业空间在轨道主业实施阶段仅初步按地下商业相关要求完成了防火分区划分并实施了疏散楼梯的土建结构，取得相应施工图设计文件审查合格证书﹐承租方在不影响轨道交通功能需求及运营安全的前提下,须根据自身业态需求进一步深化装修施工图、划分防火分区等方案设计工作，并自行按程序完善相应审批手续。</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3.4.4 如乙方需对甲方实施的土建结构或设施设备进行拆除或改造，须获得甲方书面同意，由乙方负责实施并承担相应费用。</w:t>
      </w:r>
    </w:p>
    <w:p>
      <w:pPr>
        <w:adjustRightInd/>
        <w:spacing w:line="360" w:lineRule="auto"/>
        <w:ind w:right="0" w:rightChars="0" w:firstLine="481" w:firstLineChars="171"/>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第四条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租赁用途</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4.1 租赁用途</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甲方</w:t>
      </w:r>
      <w:r>
        <w:rPr>
          <w:rFonts w:hint="default" w:ascii="仿宋_GB2312" w:hAnsi="宋体" w:eastAsia="仿宋_GB2312"/>
          <w:color w:val="auto"/>
          <w:sz w:val="28"/>
          <w:szCs w:val="28"/>
          <w:highlight w:val="none"/>
          <w:lang w:val="en-US" w:eastAsia="zh-CN"/>
        </w:rPr>
        <w:t>将贵阳轨道交通</w:t>
      </w:r>
      <w:r>
        <w:rPr>
          <w:rFonts w:hint="eastAsia" w:ascii="仿宋_GB2312" w:hAnsi="宋体" w:eastAsia="仿宋_GB2312"/>
          <w:color w:val="auto"/>
          <w:sz w:val="28"/>
          <w:szCs w:val="28"/>
          <w:highlight w:val="none"/>
          <w:lang w:val="en-US" w:eastAsia="zh-CN"/>
        </w:rPr>
        <w:t>1号线贵阳火车站</w:t>
      </w:r>
      <w:r>
        <w:rPr>
          <w:rFonts w:hint="default" w:ascii="仿宋_GB2312" w:hAnsi="宋体" w:eastAsia="仿宋_GB2312"/>
          <w:color w:val="auto"/>
          <w:sz w:val="28"/>
          <w:szCs w:val="28"/>
          <w:highlight w:val="none"/>
          <w:lang w:val="en-US" w:eastAsia="zh-CN"/>
        </w:rPr>
        <w:t>物业空间</w:t>
      </w:r>
      <w:r>
        <w:rPr>
          <w:rFonts w:hint="eastAsia" w:ascii="仿宋_GB2312" w:hAnsi="宋体" w:eastAsia="仿宋_GB2312"/>
          <w:color w:val="auto"/>
          <w:sz w:val="28"/>
          <w:szCs w:val="28"/>
          <w:highlight w:val="none"/>
          <w:lang w:val="en-US" w:eastAsia="zh-CN"/>
        </w:rPr>
        <w:t>使用权</w:t>
      </w:r>
      <w:r>
        <w:rPr>
          <w:rFonts w:hint="default" w:ascii="仿宋_GB2312" w:hAnsi="宋体" w:eastAsia="仿宋_GB2312"/>
          <w:color w:val="auto"/>
          <w:sz w:val="28"/>
          <w:szCs w:val="28"/>
          <w:highlight w:val="none"/>
          <w:lang w:val="en-US" w:eastAsia="zh-CN"/>
        </w:rPr>
        <w:t>出租给</w:t>
      </w:r>
      <w:r>
        <w:rPr>
          <w:rFonts w:hint="eastAsia" w:ascii="仿宋_GB2312" w:hAnsi="宋体" w:eastAsia="仿宋_GB2312"/>
          <w:color w:val="auto"/>
          <w:sz w:val="28"/>
          <w:szCs w:val="28"/>
          <w:highlight w:val="none"/>
          <w:lang w:val="en-US" w:eastAsia="zh-CN"/>
        </w:rPr>
        <w:t>乙方</w:t>
      </w:r>
      <w:r>
        <w:rPr>
          <w:rFonts w:hint="default" w:ascii="仿宋_GB2312" w:hAnsi="宋体" w:eastAsia="仿宋_GB2312"/>
          <w:color w:val="auto"/>
          <w:sz w:val="28"/>
          <w:szCs w:val="28"/>
          <w:highlight w:val="none"/>
          <w:lang w:val="en-US" w:eastAsia="zh-CN"/>
        </w:rPr>
        <w:t>，并授予</w:t>
      </w:r>
      <w:r>
        <w:rPr>
          <w:rFonts w:hint="eastAsia" w:ascii="仿宋_GB2312" w:hAnsi="宋体" w:eastAsia="仿宋_GB2312"/>
          <w:color w:val="auto"/>
          <w:sz w:val="28"/>
          <w:szCs w:val="28"/>
          <w:highlight w:val="none"/>
          <w:lang w:val="en-US" w:eastAsia="zh-CN"/>
        </w:rPr>
        <w:t>乙方</w:t>
      </w:r>
      <w:r>
        <w:rPr>
          <w:rFonts w:hint="default" w:ascii="仿宋_GB2312" w:hAnsi="宋体" w:eastAsia="仿宋_GB2312"/>
          <w:color w:val="auto"/>
          <w:sz w:val="28"/>
          <w:szCs w:val="28"/>
          <w:highlight w:val="none"/>
          <w:lang w:val="en-US" w:eastAsia="zh-CN"/>
        </w:rPr>
        <w:t>在经营准备期、租赁期限、租赁范围内的商业经营、命名及与自身经营产品相关的广告</w:t>
      </w:r>
      <w:r>
        <w:rPr>
          <w:rFonts w:hint="eastAsia" w:ascii="仿宋_GB2312" w:hAnsi="宋体" w:eastAsia="仿宋_GB2312"/>
          <w:color w:val="auto"/>
          <w:sz w:val="28"/>
          <w:szCs w:val="28"/>
          <w:highlight w:val="none"/>
          <w:lang w:val="en-US" w:eastAsia="zh-CN"/>
        </w:rPr>
        <w:t>资源设置</w:t>
      </w:r>
      <w:r>
        <w:rPr>
          <w:rFonts w:hint="default" w:ascii="仿宋_GB2312" w:hAnsi="宋体" w:eastAsia="仿宋_GB2312"/>
          <w:color w:val="auto"/>
          <w:sz w:val="28"/>
          <w:szCs w:val="28"/>
          <w:highlight w:val="none"/>
          <w:lang w:val="en-US" w:eastAsia="zh-CN"/>
        </w:rPr>
        <w:t>权利</w:t>
      </w:r>
      <w:r>
        <w:rPr>
          <w:rFonts w:hint="eastAsia" w:ascii="仿宋_GB2312" w:hAnsi="宋体" w:eastAsia="仿宋_GB2312"/>
          <w:color w:val="auto"/>
          <w:sz w:val="28"/>
          <w:szCs w:val="28"/>
          <w:highlight w:val="none"/>
          <w:lang w:val="en-US" w:eastAsia="zh-CN"/>
        </w:rPr>
        <w:t>。</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4.1.1 商业经营</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甲方</w:t>
      </w:r>
      <w:r>
        <w:rPr>
          <w:rFonts w:hint="default" w:ascii="仿宋_GB2312" w:hAnsi="宋体" w:eastAsia="仿宋_GB2312"/>
          <w:color w:val="auto"/>
          <w:sz w:val="28"/>
          <w:szCs w:val="28"/>
          <w:highlight w:val="none"/>
          <w:lang w:val="en-US" w:eastAsia="zh-CN"/>
        </w:rPr>
        <w:t>授予</w:t>
      </w:r>
      <w:r>
        <w:rPr>
          <w:rFonts w:hint="eastAsia" w:ascii="仿宋_GB2312" w:hAnsi="宋体" w:eastAsia="仿宋_GB2312"/>
          <w:color w:val="auto"/>
          <w:sz w:val="28"/>
          <w:szCs w:val="28"/>
          <w:highlight w:val="none"/>
          <w:lang w:val="en-US" w:eastAsia="zh-CN"/>
        </w:rPr>
        <w:t>乙方</w:t>
      </w:r>
      <w:r>
        <w:rPr>
          <w:rFonts w:hint="default" w:ascii="仿宋_GB2312" w:hAnsi="宋体" w:eastAsia="仿宋_GB2312"/>
          <w:color w:val="auto"/>
          <w:sz w:val="28"/>
          <w:szCs w:val="28"/>
          <w:highlight w:val="none"/>
          <w:lang w:val="en-US" w:eastAsia="zh-CN"/>
        </w:rPr>
        <w:t>在经营准备期、租赁期限、租赁经营范围内商业资源</w:t>
      </w:r>
      <w:r>
        <w:rPr>
          <w:rFonts w:hint="eastAsia" w:ascii="仿宋_GB2312" w:hAnsi="宋体" w:eastAsia="仿宋_GB2312"/>
          <w:color w:val="auto"/>
          <w:sz w:val="28"/>
          <w:szCs w:val="28"/>
          <w:highlight w:val="none"/>
          <w:lang w:val="en-US" w:eastAsia="zh-CN"/>
        </w:rPr>
        <w:t>使用权</w:t>
      </w:r>
      <w:r>
        <w:rPr>
          <w:rFonts w:hint="default" w:ascii="仿宋_GB2312" w:hAnsi="宋体" w:eastAsia="仿宋_GB2312"/>
          <w:color w:val="auto"/>
          <w:sz w:val="28"/>
          <w:szCs w:val="28"/>
          <w:highlight w:val="none"/>
          <w:lang w:val="en-US" w:eastAsia="zh-CN"/>
        </w:rPr>
        <w:t>利，包括但不限于按照约定进行项目商业资源的规划、建设、经营、维护等。</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4.1.2 命名</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default" w:ascii="仿宋_GB2312" w:hAnsi="宋体" w:eastAsia="仿宋_GB2312"/>
          <w:color w:val="auto"/>
          <w:sz w:val="28"/>
          <w:szCs w:val="28"/>
          <w:highlight w:val="none"/>
          <w:lang w:val="en-US" w:eastAsia="zh-CN"/>
        </w:rPr>
        <w:t>甲方</w:t>
      </w:r>
      <w:r>
        <w:rPr>
          <w:rFonts w:hint="eastAsia" w:ascii="仿宋_GB2312" w:hAnsi="宋体" w:eastAsia="仿宋_GB2312"/>
          <w:color w:val="auto"/>
          <w:sz w:val="28"/>
          <w:szCs w:val="28"/>
          <w:highlight w:val="none"/>
          <w:lang w:val="en-US" w:eastAsia="zh-CN"/>
        </w:rPr>
        <w:t>授予</w:t>
      </w:r>
      <w:r>
        <w:rPr>
          <w:rFonts w:hint="default" w:ascii="仿宋_GB2312" w:hAnsi="宋体" w:eastAsia="仿宋_GB2312"/>
          <w:color w:val="auto"/>
          <w:sz w:val="28"/>
          <w:szCs w:val="28"/>
          <w:highlight w:val="none"/>
          <w:lang w:val="en-US" w:eastAsia="zh-CN"/>
        </w:rPr>
        <w:t>乙方</w:t>
      </w:r>
      <w:r>
        <w:rPr>
          <w:rFonts w:hint="eastAsia" w:ascii="仿宋_GB2312" w:hAnsi="宋体" w:eastAsia="仿宋_GB2312"/>
          <w:color w:val="auto"/>
          <w:sz w:val="28"/>
          <w:szCs w:val="28"/>
          <w:highlight w:val="none"/>
          <w:lang w:val="en-US" w:eastAsia="zh-CN"/>
        </w:rPr>
        <w:t>在经营准备期、租赁期限、租赁经营范围内物业空间的命名权利（名称须经由</w:t>
      </w:r>
      <w:r>
        <w:rPr>
          <w:rFonts w:hint="default" w:ascii="仿宋_GB2312" w:hAnsi="宋体" w:eastAsia="仿宋_GB2312"/>
          <w:color w:val="auto"/>
          <w:sz w:val="28"/>
          <w:szCs w:val="28"/>
          <w:highlight w:val="none"/>
          <w:lang w:val="en-US" w:eastAsia="zh-CN"/>
        </w:rPr>
        <w:t>甲方</w:t>
      </w:r>
      <w:r>
        <w:rPr>
          <w:rFonts w:hint="eastAsia" w:ascii="仿宋_GB2312" w:hAnsi="宋体" w:eastAsia="仿宋_GB2312"/>
          <w:color w:val="auto"/>
          <w:sz w:val="28"/>
          <w:szCs w:val="28"/>
          <w:highlight w:val="none"/>
          <w:lang w:val="en-US" w:eastAsia="zh-CN"/>
        </w:rPr>
        <w:t>书面审核批准）。</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4.1.3 广告资源设置</w:t>
      </w:r>
    </w:p>
    <w:p>
      <w:pPr>
        <w:overflowPunct w:val="0"/>
        <w:autoSpaceDE w:val="0"/>
        <w:ind w:firstLine="520" w:firstLineChars="186"/>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（1）甲方</w:t>
      </w:r>
      <w:r>
        <w:rPr>
          <w:rFonts w:hint="default" w:ascii="仿宋_GB2312" w:hAnsi="宋体" w:eastAsia="仿宋_GB2312"/>
          <w:color w:val="auto"/>
          <w:sz w:val="28"/>
          <w:szCs w:val="28"/>
          <w:highlight w:val="none"/>
          <w:lang w:val="en-US" w:eastAsia="zh-CN"/>
        </w:rPr>
        <w:t>授予</w:t>
      </w:r>
      <w:r>
        <w:rPr>
          <w:rFonts w:hint="eastAsia" w:ascii="仿宋_GB2312" w:hAnsi="宋体" w:eastAsia="仿宋_GB2312"/>
          <w:color w:val="auto"/>
          <w:sz w:val="28"/>
          <w:szCs w:val="28"/>
          <w:highlight w:val="none"/>
          <w:lang w:val="en-US" w:eastAsia="zh-CN"/>
        </w:rPr>
        <w:t>乙方</w:t>
      </w:r>
      <w:r>
        <w:rPr>
          <w:rFonts w:hint="default" w:ascii="仿宋_GB2312" w:hAnsi="宋体" w:eastAsia="仿宋_GB2312"/>
          <w:color w:val="auto"/>
          <w:sz w:val="28"/>
          <w:szCs w:val="28"/>
          <w:highlight w:val="none"/>
          <w:lang w:val="en-US" w:eastAsia="zh-CN"/>
        </w:rPr>
        <w:t>在经营准备期、租赁期限、租赁经营范围内进行广告资源设置和开发</w:t>
      </w:r>
      <w:r>
        <w:rPr>
          <w:rFonts w:hint="eastAsia" w:ascii="仿宋_GB2312" w:hAnsi="宋体" w:eastAsia="仿宋_GB2312"/>
          <w:color w:val="auto"/>
          <w:sz w:val="28"/>
          <w:szCs w:val="28"/>
          <w:highlight w:val="none"/>
          <w:lang w:val="en-US" w:eastAsia="zh-CN"/>
        </w:rPr>
        <w:t>使用权</w:t>
      </w:r>
      <w:r>
        <w:rPr>
          <w:rFonts w:hint="default" w:ascii="仿宋_GB2312" w:hAnsi="宋体" w:eastAsia="仿宋_GB2312"/>
          <w:color w:val="auto"/>
          <w:sz w:val="28"/>
          <w:szCs w:val="28"/>
          <w:highlight w:val="none"/>
          <w:lang w:val="en-US" w:eastAsia="zh-CN"/>
        </w:rPr>
        <w:t>利,</w:t>
      </w:r>
      <w:r>
        <w:rPr>
          <w:rFonts w:hint="eastAsia" w:ascii="仿宋_GB2312" w:hAnsi="宋体" w:eastAsia="仿宋_GB2312"/>
          <w:color w:val="auto"/>
          <w:sz w:val="28"/>
          <w:szCs w:val="28"/>
          <w:highlight w:val="none"/>
          <w:lang w:val="en-US" w:eastAsia="zh-CN"/>
        </w:rPr>
        <w:t>广告</w:t>
      </w:r>
      <w:r>
        <w:rPr>
          <w:rFonts w:hint="default" w:ascii="仿宋_GB2312" w:hAnsi="宋体" w:eastAsia="仿宋_GB2312"/>
          <w:color w:val="auto"/>
          <w:sz w:val="28"/>
          <w:szCs w:val="28"/>
          <w:highlight w:val="none"/>
          <w:lang w:val="en-US" w:eastAsia="zh-CN"/>
        </w:rPr>
        <w:t>发布内容仅限于涉及该物业空间商户经营产品或商户相关推广信息。</w:t>
      </w:r>
    </w:p>
    <w:p>
      <w:pPr>
        <w:overflowPunct w:val="0"/>
        <w:autoSpaceDE w:val="0"/>
        <w:ind w:firstLine="520" w:firstLineChars="186"/>
        <w:jc w:val="left"/>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（2）</w:t>
      </w:r>
      <w:r>
        <w:rPr>
          <w:rFonts w:hint="default" w:ascii="仿宋_GB2312" w:hAnsi="宋体" w:eastAsia="仿宋_GB2312"/>
          <w:color w:val="auto"/>
          <w:sz w:val="28"/>
          <w:szCs w:val="28"/>
          <w:highlight w:val="none"/>
          <w:lang w:val="en-US" w:eastAsia="zh-CN"/>
        </w:rPr>
        <w:t>乙方在日常经营过程中须根据甲方要求按租赁合同项下各类广告媒体资源总量30%的比例发布甲方所需的非商业广告，并承担发布</w:t>
      </w:r>
      <w:r>
        <w:rPr>
          <w:rFonts w:hint="eastAsia" w:ascii="仿宋_GB2312" w:hAnsi="宋体" w:eastAsia="仿宋_GB2312"/>
          <w:color w:val="auto"/>
          <w:sz w:val="28"/>
          <w:szCs w:val="28"/>
          <w:highlight w:val="none"/>
          <w:lang w:val="en-US" w:eastAsia="zh-CN"/>
        </w:rPr>
        <w:t>所涉及的</w:t>
      </w:r>
      <w:r>
        <w:rPr>
          <w:rFonts w:hint="default" w:ascii="仿宋_GB2312" w:hAnsi="宋体" w:eastAsia="仿宋_GB2312"/>
          <w:color w:val="auto"/>
          <w:sz w:val="28"/>
          <w:szCs w:val="28"/>
          <w:highlight w:val="none"/>
          <w:lang w:val="en-US" w:eastAsia="zh-CN"/>
        </w:rPr>
        <w:t>全部工作</w:t>
      </w:r>
      <w:r>
        <w:rPr>
          <w:rFonts w:hint="eastAsia" w:ascii="仿宋_GB2312" w:hAnsi="宋体" w:eastAsia="仿宋_GB2312"/>
          <w:color w:val="auto"/>
          <w:sz w:val="28"/>
          <w:szCs w:val="28"/>
          <w:highlight w:val="none"/>
          <w:lang w:val="en-US" w:eastAsia="zh-CN"/>
        </w:rPr>
        <w:t>及</w:t>
      </w:r>
      <w:r>
        <w:rPr>
          <w:rFonts w:hint="default" w:ascii="仿宋_GB2312" w:hAnsi="宋体" w:eastAsia="仿宋_GB2312"/>
          <w:color w:val="auto"/>
          <w:sz w:val="28"/>
          <w:szCs w:val="28"/>
          <w:highlight w:val="none"/>
          <w:lang w:val="en-US" w:eastAsia="zh-CN"/>
        </w:rPr>
        <w:t>费用。由乙方负责发布的关于</w:t>
      </w:r>
      <w:r>
        <w:rPr>
          <w:rFonts w:hint="eastAsia" w:ascii="仿宋_GB2312" w:hAnsi="宋体" w:eastAsia="仿宋_GB2312"/>
          <w:color w:val="auto"/>
          <w:sz w:val="28"/>
          <w:szCs w:val="28"/>
          <w:highlight w:val="none"/>
          <w:lang w:val="en-US" w:eastAsia="zh-CN"/>
        </w:rPr>
        <w:t>甲方</w:t>
      </w:r>
      <w:r>
        <w:rPr>
          <w:rFonts w:hint="default" w:ascii="仿宋_GB2312" w:hAnsi="宋体" w:eastAsia="仿宋_GB2312"/>
          <w:color w:val="auto"/>
          <w:sz w:val="28"/>
          <w:szCs w:val="28"/>
          <w:highlight w:val="none"/>
          <w:lang w:val="en-US" w:eastAsia="zh-CN"/>
        </w:rPr>
        <w:t>的相关信息、公益广告、政府部门安排的宣传内容，须经甲方审核同意后方可实施。</w:t>
      </w:r>
    </w:p>
    <w:p>
      <w:pPr>
        <w:ind w:right="-552" w:rightChars="-230" w:firstLine="481" w:firstLineChars="171"/>
        <w:rPr>
          <w:rFonts w:ascii="黑体" w:hAnsi="黑体" w:eastAsia="黑体" w:cs="黑体"/>
          <w:b/>
          <w:color w:val="auto"/>
          <w:sz w:val="28"/>
          <w:szCs w:val="28"/>
          <w:highlight w:val="none"/>
        </w:rPr>
      </w:pPr>
      <w:r>
        <w:rPr>
          <w:rFonts w:hint="eastAsia" w:ascii="黑体" w:hAnsi="黑体" w:eastAsia="黑体" w:cs="黑体"/>
          <w:b/>
          <w:color w:val="auto"/>
          <w:sz w:val="28"/>
          <w:szCs w:val="28"/>
          <w:highlight w:val="none"/>
        </w:rPr>
        <w:t>第五条</w:t>
      </w:r>
      <w:r>
        <w:rPr>
          <w:rFonts w:ascii="黑体" w:hAnsi="黑体" w:eastAsia="黑体" w:cs="黑体"/>
          <w:b/>
          <w:color w:val="auto"/>
          <w:sz w:val="28"/>
          <w:szCs w:val="28"/>
          <w:highlight w:val="none"/>
        </w:rPr>
        <w:t xml:space="preserve"> </w:t>
      </w:r>
      <w:r>
        <w:rPr>
          <w:rFonts w:hint="eastAsia" w:ascii="黑体" w:hAnsi="黑体" w:eastAsia="黑体" w:cs="黑体"/>
          <w:b/>
          <w:color w:val="auto"/>
          <w:sz w:val="28"/>
          <w:szCs w:val="28"/>
          <w:highlight w:val="none"/>
        </w:rPr>
        <w:t>租赁期限、交付、经营准备期</w:t>
      </w:r>
    </w:p>
    <w:p>
      <w:pPr>
        <w:overflowPunct w:val="0"/>
        <w:autoSpaceDE w:val="0"/>
        <w:ind w:firstLine="478" w:firstLineChars="171"/>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5.1</w:t>
      </w:r>
      <w:r>
        <w:rPr>
          <w:rFonts w:hint="eastAsia" w:ascii="仿宋_GB2312" w:hAnsi="仿宋_GB2312" w:eastAsia="仿宋_GB2312" w:cs="仿宋_GB2312"/>
          <w:color w:val="auto"/>
          <w:sz w:val="28"/>
          <w:szCs w:val="28"/>
          <w:highlight w:val="none"/>
        </w:rPr>
        <w:t xml:space="preserve"> 租赁期限</w:t>
      </w:r>
    </w:p>
    <w:p>
      <w:pPr>
        <w:pStyle w:val="31"/>
        <w:autoSpaceDE w:val="0"/>
        <w:autoSpaceDN w:val="0"/>
        <w:adjustRightInd w:val="0"/>
        <w:spacing w:line="360" w:lineRule="auto"/>
        <w:ind w:firstLine="478" w:firstLineChars="171"/>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5.1.</w:t>
      </w:r>
      <w:r>
        <w:rPr>
          <w:rFonts w:hint="eastAsia" w:ascii="仿宋_GB2312" w:hAnsi="仿宋_GB2312" w:eastAsia="仿宋_GB2312" w:cs="仿宋_GB2312"/>
          <w:color w:val="auto"/>
          <w:kern w:val="0"/>
          <w:sz w:val="28"/>
          <w:szCs w:val="28"/>
          <w:highlight w:val="none"/>
          <w:lang w:eastAsia="zh-CN"/>
        </w:rPr>
        <w:t>1</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租赁期限为10年，租赁期限自</w:t>
      </w:r>
      <w:r>
        <w:rPr>
          <w:rFonts w:hint="eastAsia" w:ascii="仿宋_GB2312" w:hAnsi="仿宋_GB2312" w:eastAsia="仿宋_GB2312" w:cs="仿宋_GB2312"/>
          <w:color w:val="auto"/>
          <w:kern w:val="0"/>
          <w:sz w:val="28"/>
          <w:szCs w:val="28"/>
          <w:highlight w:val="none"/>
          <w:lang w:eastAsia="zh-CN"/>
        </w:rPr>
        <w:t>物业空间</w:t>
      </w:r>
      <w:r>
        <w:rPr>
          <w:rFonts w:hint="eastAsia" w:ascii="仿宋_GB2312" w:hAnsi="仿宋_GB2312" w:eastAsia="仿宋_GB2312" w:cs="仿宋_GB2312"/>
          <w:color w:val="auto"/>
          <w:kern w:val="0"/>
          <w:sz w:val="28"/>
          <w:szCs w:val="28"/>
          <w:highlight w:val="none"/>
        </w:rPr>
        <w:t>起租日</w:t>
      </w:r>
      <w:r>
        <w:rPr>
          <w:rFonts w:hint="eastAsia" w:ascii="仿宋_GB2312" w:hAnsi="仿宋_GB2312" w:eastAsia="仿宋_GB2312" w:cs="仿宋_GB2312"/>
          <w:color w:val="auto"/>
          <w:kern w:val="0"/>
          <w:sz w:val="28"/>
          <w:szCs w:val="28"/>
          <w:highlight w:val="none"/>
          <w:lang w:eastAsia="zh-CN"/>
        </w:rPr>
        <w:t>（即经营准备期满后的</w:t>
      </w:r>
      <w:r>
        <w:rPr>
          <w:rFonts w:hint="eastAsia" w:ascii="仿宋_GB2312" w:hAnsi="仿宋_GB2312" w:eastAsia="仿宋_GB2312" w:cs="仿宋_GB2312"/>
          <w:color w:val="auto"/>
          <w:kern w:val="0"/>
          <w:sz w:val="28"/>
          <w:szCs w:val="28"/>
          <w:highlight w:val="none"/>
          <w:lang w:val="en-US" w:eastAsia="zh-CN"/>
        </w:rPr>
        <w:t>次日</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rPr>
        <w:t>起开始计算。</w:t>
      </w:r>
    </w:p>
    <w:p>
      <w:pPr>
        <w:pStyle w:val="31"/>
        <w:spacing w:line="360" w:lineRule="auto"/>
        <w:ind w:firstLine="478" w:firstLineChars="171"/>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bidi="ar"/>
        </w:rPr>
        <w:t>5.1.</w:t>
      </w:r>
      <w:r>
        <w:rPr>
          <w:rFonts w:hint="eastAsia" w:ascii="仿宋_GB2312" w:hAnsi="仿宋_GB2312" w:eastAsia="仿宋_GB2312" w:cs="仿宋_GB2312"/>
          <w:color w:val="auto"/>
          <w:kern w:val="0"/>
          <w:sz w:val="28"/>
          <w:szCs w:val="28"/>
          <w:highlight w:val="none"/>
          <w:lang w:eastAsia="zh-CN" w:bidi="ar"/>
        </w:rPr>
        <w:t>2</w:t>
      </w:r>
      <w:r>
        <w:rPr>
          <w:rFonts w:hint="eastAsia" w:ascii="仿宋_GB2312" w:hAnsi="仿宋_GB2312" w:eastAsia="仿宋_GB2312" w:cs="仿宋_GB2312"/>
          <w:color w:val="auto"/>
          <w:kern w:val="0"/>
          <w:sz w:val="28"/>
          <w:szCs w:val="28"/>
          <w:highlight w:val="none"/>
          <w:lang w:val="en-US" w:eastAsia="zh-CN" w:bidi="ar"/>
        </w:rPr>
        <w:t xml:space="preserve"> </w:t>
      </w:r>
      <w:r>
        <w:rPr>
          <w:rFonts w:hint="eastAsia" w:ascii="仿宋_GB2312" w:hAnsi="仿宋_GB2312" w:eastAsia="仿宋_GB2312" w:cs="仿宋_GB2312"/>
          <w:color w:val="auto"/>
          <w:kern w:val="0"/>
          <w:sz w:val="28"/>
          <w:szCs w:val="28"/>
          <w:highlight w:val="none"/>
          <w:lang w:val="en-US" w:eastAsia="zh-CN"/>
        </w:rPr>
        <w:t>如物业空间合同签订之日起1年内由于不确定因素导致各物业空间无法正常交付的，双方可根据事实情况另行协商确定物业空间的交付日期，如协商不成，租赁合同自行解除，预付的租金和履约保证金予以无息退还。</w:t>
      </w:r>
    </w:p>
    <w:p>
      <w:pPr>
        <w:spacing w:line="360" w:lineRule="auto"/>
        <w:ind w:firstLine="478" w:firstLineChars="171"/>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5.2</w:t>
      </w:r>
      <w:r>
        <w:rPr>
          <w:rFonts w:hint="eastAsia" w:ascii="仿宋_GB2312" w:hAnsi="仿宋_GB2312" w:eastAsia="仿宋_GB2312" w:cs="仿宋_GB2312"/>
          <w:color w:val="auto"/>
          <w:sz w:val="28"/>
          <w:szCs w:val="28"/>
          <w:highlight w:val="none"/>
        </w:rPr>
        <w:t xml:space="preserve"> 交付</w:t>
      </w:r>
    </w:p>
    <w:p>
      <w:pPr>
        <w:overflowPunct w:val="0"/>
        <w:autoSpaceDE w:val="0"/>
        <w:spacing w:line="360" w:lineRule="auto"/>
        <w:ind w:firstLine="478" w:firstLineChars="171"/>
        <w:rPr>
          <w:rFonts w:hint="default" w:ascii="仿宋_GB2312" w:hAnsi="仿宋_GB2312" w:eastAsia="仿宋_GB2312" w:cs="仿宋_GB2312"/>
          <w:color w:val="auto"/>
          <w:kern w:val="0"/>
          <w:sz w:val="28"/>
          <w:szCs w:val="28"/>
          <w:highlight w:val="none"/>
          <w:lang w:val="en-US" w:eastAsia="zh-CN"/>
        </w:rPr>
      </w:pPr>
      <w:r>
        <w:rPr>
          <w:rFonts w:ascii="仿宋_GB2312" w:hAnsi="仿宋_GB2312" w:eastAsia="仿宋_GB2312" w:cs="仿宋_GB2312"/>
          <w:color w:val="auto"/>
          <w:sz w:val="28"/>
          <w:szCs w:val="28"/>
          <w:highlight w:val="none"/>
        </w:rPr>
        <w:t>5.2.1</w:t>
      </w:r>
      <w:r>
        <w:rPr>
          <w:rFonts w:hint="eastAsia" w:ascii="仿宋_GB2312" w:hAnsi="仿宋_GB2312" w:eastAsia="仿宋_GB2312" w:cs="仿宋_GB2312"/>
          <w:color w:val="auto"/>
          <w:sz w:val="28"/>
          <w:szCs w:val="28"/>
          <w:highlight w:val="none"/>
        </w:rPr>
        <w:t xml:space="preserve"> </w:t>
      </w:r>
      <w:r>
        <w:rPr>
          <w:rFonts w:hint="default" w:ascii="仿宋_GB2312" w:hAnsi="宋体" w:eastAsia="仿宋_GB2312"/>
          <w:color w:val="auto"/>
          <w:sz w:val="28"/>
          <w:szCs w:val="28"/>
          <w:highlight w:val="none"/>
          <w:lang w:val="en-US" w:eastAsia="zh-CN"/>
        </w:rPr>
        <w:t>出租标的</w:t>
      </w:r>
      <w:r>
        <w:rPr>
          <w:rFonts w:hint="eastAsia" w:ascii="仿宋_GB2312" w:hAnsi="宋体" w:eastAsia="仿宋_GB2312"/>
          <w:color w:val="auto"/>
          <w:sz w:val="28"/>
          <w:szCs w:val="28"/>
          <w:highlight w:val="none"/>
          <w:lang w:val="en-US" w:eastAsia="zh-CN"/>
        </w:rPr>
        <w:t>以现状进行</w:t>
      </w:r>
      <w:r>
        <w:rPr>
          <w:rFonts w:hint="default" w:ascii="仿宋_GB2312" w:hAnsi="宋体" w:eastAsia="仿宋_GB2312"/>
          <w:color w:val="auto"/>
          <w:sz w:val="28"/>
          <w:szCs w:val="28"/>
          <w:highlight w:val="none"/>
          <w:lang w:val="en-US" w:eastAsia="zh-CN"/>
        </w:rPr>
        <w:t>移交。</w:t>
      </w:r>
      <w:r>
        <w:rPr>
          <w:rFonts w:ascii="仿宋_GB2312" w:hAnsi="仿宋_GB2312" w:eastAsia="仿宋_GB2312" w:cs="仿宋_GB2312"/>
          <w:color w:val="auto"/>
          <w:sz w:val="28"/>
          <w:szCs w:val="28"/>
          <w:highlight w:val="none"/>
        </w:rPr>
        <w:t>本合同生效后</w:t>
      </w:r>
      <w:r>
        <w:rPr>
          <w:rFonts w:hint="eastAsia" w:ascii="仿宋_GB2312" w:hAnsi="仿宋_GB2312" w:eastAsia="仿宋_GB2312" w:cs="仿宋_GB2312"/>
          <w:color w:val="auto"/>
          <w:kern w:val="0"/>
          <w:sz w:val="28"/>
          <w:szCs w:val="28"/>
          <w:highlight w:val="none"/>
        </w:rPr>
        <w:t>，</w:t>
      </w:r>
      <w:r>
        <w:rPr>
          <w:rFonts w:hint="default"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与</w:t>
      </w:r>
      <w:r>
        <w:rPr>
          <w:rFonts w:hint="default" w:ascii="仿宋_GB2312" w:hAnsi="仿宋_GB2312" w:eastAsia="仿宋_GB2312" w:cs="仿宋_GB2312"/>
          <w:color w:val="auto"/>
          <w:kern w:val="0"/>
          <w:sz w:val="28"/>
          <w:szCs w:val="28"/>
          <w:highlight w:val="none"/>
          <w:lang w:eastAsia="zh-CN"/>
        </w:rPr>
        <w:t>乙方</w:t>
      </w:r>
      <w:r>
        <w:rPr>
          <w:rFonts w:hint="default" w:ascii="仿宋_GB2312" w:hAnsi="仿宋_GB2312" w:eastAsia="仿宋_GB2312" w:cs="仿宋_GB2312"/>
          <w:color w:val="auto"/>
          <w:kern w:val="0"/>
          <w:sz w:val="28"/>
          <w:szCs w:val="28"/>
          <w:highlight w:val="none"/>
          <w:lang w:val="en-US" w:eastAsia="zh-CN"/>
        </w:rPr>
        <w:t>办理书面移交手续，自交付之日计算经营准备期</w:t>
      </w:r>
      <w:r>
        <w:rPr>
          <w:rFonts w:hint="eastAsia" w:ascii="仿宋_GB2312" w:hAnsi="仿宋_GB2312" w:eastAsia="仿宋_GB2312" w:cs="仿宋_GB2312"/>
          <w:color w:val="auto"/>
          <w:kern w:val="0"/>
          <w:sz w:val="28"/>
          <w:szCs w:val="28"/>
          <w:highlight w:val="none"/>
        </w:rPr>
        <w:t>。如</w:t>
      </w:r>
      <w:r>
        <w:rPr>
          <w:rFonts w:hint="eastAsia" w:ascii="仿宋_GB2312" w:hAnsi="仿宋_GB2312" w:eastAsia="仿宋_GB2312" w:cs="仿宋_GB2312"/>
          <w:color w:val="auto"/>
          <w:kern w:val="0"/>
          <w:sz w:val="28"/>
          <w:szCs w:val="28"/>
          <w:highlight w:val="none"/>
          <w:lang w:val="en-US" w:eastAsia="zh-CN"/>
        </w:rPr>
        <w:t>交付时的现状与预留措施表存在差异的，以交付时的现状为准。</w:t>
      </w:r>
    </w:p>
    <w:p>
      <w:pPr>
        <w:overflowPunct w:val="0"/>
        <w:autoSpaceDE w:val="0"/>
        <w:spacing w:line="360" w:lineRule="auto"/>
        <w:ind w:firstLine="478" w:firstLineChars="171"/>
        <w:rPr>
          <w:rFonts w:hint="eastAsia" w:ascii="仿宋_GB2312" w:hAnsi="仿宋_GB2312" w:eastAsia="仿宋_GB2312" w:cs="仿宋_GB2312"/>
          <w:color w:val="auto"/>
          <w:kern w:val="0"/>
          <w:sz w:val="28"/>
          <w:szCs w:val="28"/>
          <w:highlight w:val="none"/>
          <w:lang w:val="en-US" w:eastAsia="zh-CN"/>
        </w:rPr>
      </w:pPr>
      <w:r>
        <w:rPr>
          <w:rFonts w:hint="default" w:ascii="仿宋_GB2312" w:hAnsi="仿宋_GB2312" w:eastAsia="仿宋_GB2312" w:cs="仿宋_GB2312"/>
          <w:color w:val="auto"/>
          <w:kern w:val="0"/>
          <w:sz w:val="28"/>
          <w:szCs w:val="28"/>
          <w:highlight w:val="none"/>
          <w:lang w:val="en-US" w:eastAsia="zh-CN"/>
        </w:rPr>
        <w:t>5.2.2</w:t>
      </w:r>
      <w:r>
        <w:rPr>
          <w:rFonts w:hint="eastAsia" w:ascii="仿宋_GB2312" w:hAnsi="仿宋_GB2312" w:eastAsia="仿宋_GB2312" w:cs="仿宋_GB2312"/>
          <w:color w:val="auto"/>
          <w:kern w:val="0"/>
          <w:sz w:val="28"/>
          <w:szCs w:val="28"/>
          <w:highlight w:val="none"/>
          <w:lang w:val="en-US" w:eastAsia="zh-CN"/>
        </w:rPr>
        <w:t xml:space="preserve"> 甲方向乙方发出交付通知书，双方按照交付通知书载明的时间和地点办理交付手续，自交付之日开始计算经营准备期；如因特殊情况导致无法交付，则由甲、乙双方另行协商交付时间。</w:t>
      </w:r>
    </w:p>
    <w:p>
      <w:pPr>
        <w:overflowPunct w:val="0"/>
        <w:autoSpaceDE w:val="0"/>
        <w:spacing w:line="360" w:lineRule="auto"/>
        <w:ind w:firstLine="478" w:firstLineChars="171"/>
        <w:rPr>
          <w:rFonts w:hint="default" w:ascii="仿宋_GB2312" w:hAnsi="仿宋_GB2312" w:eastAsia="仿宋_GB2312" w:cs="仿宋_GB2312"/>
          <w:color w:val="auto"/>
          <w:kern w:val="0"/>
          <w:sz w:val="28"/>
          <w:szCs w:val="28"/>
          <w:highlight w:val="none"/>
          <w:lang w:val="en-US" w:eastAsia="zh-CN"/>
        </w:rPr>
      </w:pPr>
      <w:r>
        <w:rPr>
          <w:rFonts w:hint="default" w:ascii="仿宋_GB2312" w:hAnsi="仿宋_GB2312" w:eastAsia="仿宋_GB2312" w:cs="仿宋_GB2312"/>
          <w:color w:val="auto"/>
          <w:kern w:val="0"/>
          <w:sz w:val="28"/>
          <w:szCs w:val="28"/>
          <w:highlight w:val="none"/>
          <w:lang w:val="en-US" w:eastAsia="zh-CN"/>
        </w:rPr>
        <w:t>5.2.</w:t>
      </w:r>
      <w:r>
        <w:rPr>
          <w:rFonts w:hint="eastAsia" w:ascii="仿宋_GB2312" w:hAnsi="仿宋_GB2312" w:eastAsia="仿宋_GB2312" w:cs="仿宋_GB2312"/>
          <w:color w:val="auto"/>
          <w:kern w:val="0"/>
          <w:sz w:val="28"/>
          <w:szCs w:val="28"/>
          <w:highlight w:val="none"/>
          <w:lang w:val="en-US" w:eastAsia="zh-CN"/>
        </w:rPr>
        <w:t>3 如乙方不按要求办理交付手续，交付之日以交付通知书载明的时间为准；自交付通知书载明的交付时间起30日，乙方仍未与甲方完善交付手续的，双方租赁合同自动解除且不退还已缴纳的履约保证金。</w:t>
      </w:r>
    </w:p>
    <w:p>
      <w:pPr>
        <w:overflowPunct w:val="0"/>
        <w:autoSpaceDE w:val="0"/>
        <w:ind w:firstLine="478" w:firstLineChars="171"/>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 xml:space="preserve">5.3 </w:t>
      </w:r>
      <w:r>
        <w:rPr>
          <w:rFonts w:hint="eastAsia" w:ascii="仿宋_GB2312" w:hAnsi="仿宋_GB2312" w:eastAsia="仿宋_GB2312" w:cs="仿宋_GB2312"/>
          <w:color w:val="auto"/>
          <w:kern w:val="0"/>
          <w:sz w:val="28"/>
          <w:szCs w:val="28"/>
          <w:highlight w:val="none"/>
        </w:rPr>
        <w:t>经营准备期为</w:t>
      </w:r>
      <w:r>
        <w:rPr>
          <w:rFonts w:ascii="仿宋_GB2312" w:hAnsi="仿宋_GB2312" w:eastAsia="仿宋_GB2312" w:cs="仿宋_GB2312"/>
          <w:color w:val="auto"/>
          <w:kern w:val="0"/>
          <w:sz w:val="28"/>
          <w:szCs w:val="28"/>
          <w:highlight w:val="none"/>
        </w:rPr>
        <w:t>9个月，自</w:t>
      </w:r>
      <w:r>
        <w:rPr>
          <w:rFonts w:hint="eastAsia" w:ascii="仿宋_GB2312" w:hAnsi="仿宋_GB2312" w:eastAsia="仿宋_GB2312" w:cs="仿宋_GB2312"/>
          <w:color w:val="auto"/>
          <w:kern w:val="0"/>
          <w:sz w:val="28"/>
          <w:szCs w:val="28"/>
          <w:highlight w:val="none"/>
          <w:lang w:eastAsia="zh-CN"/>
        </w:rPr>
        <w:t>物业空间</w:t>
      </w:r>
      <w:r>
        <w:rPr>
          <w:rFonts w:ascii="仿宋_GB2312" w:hAnsi="仿宋_GB2312" w:eastAsia="仿宋_GB2312" w:cs="仿宋_GB2312"/>
          <w:color w:val="auto"/>
          <w:kern w:val="0"/>
          <w:sz w:val="28"/>
          <w:szCs w:val="28"/>
          <w:highlight w:val="none"/>
        </w:rPr>
        <w:t>交付日起计算。</w:t>
      </w:r>
      <w:r>
        <w:rPr>
          <w:rFonts w:hint="eastAsia" w:ascii="仿宋_GB2312" w:hAnsi="仿宋_GB2312" w:eastAsia="仿宋_GB2312" w:cs="仿宋_GB2312"/>
          <w:color w:val="auto"/>
          <w:kern w:val="0"/>
          <w:sz w:val="28"/>
          <w:szCs w:val="28"/>
          <w:highlight w:val="none"/>
        </w:rPr>
        <w:t>经营准备期是指用于</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进行物业空间后续工程建设、装饰装修、设备设施安装，相关行政审批手续办理和经营筹备的时间。</w:t>
      </w:r>
      <w:r>
        <w:rPr>
          <w:rFonts w:ascii="仿宋_GB2312" w:hAnsi="仿宋_GB2312" w:eastAsia="仿宋_GB2312" w:cs="仿宋_GB2312"/>
          <w:color w:val="auto"/>
          <w:kern w:val="0"/>
          <w:sz w:val="28"/>
          <w:szCs w:val="28"/>
          <w:highlight w:val="none"/>
        </w:rPr>
        <w:t>经营准备期内不计算租金，但</w:t>
      </w:r>
      <w:r>
        <w:rPr>
          <w:rFonts w:hint="eastAsia" w:ascii="仿宋_GB2312" w:hAnsi="仿宋_GB2312" w:eastAsia="仿宋_GB2312" w:cs="仿宋_GB2312"/>
          <w:color w:val="auto"/>
          <w:kern w:val="0"/>
          <w:sz w:val="28"/>
          <w:szCs w:val="28"/>
          <w:highlight w:val="none"/>
          <w:lang w:val="en-US" w:eastAsia="zh-CN"/>
        </w:rPr>
        <w:t>乙方</w:t>
      </w:r>
      <w:r>
        <w:rPr>
          <w:rFonts w:ascii="仿宋_GB2312" w:hAnsi="仿宋_GB2312" w:eastAsia="仿宋_GB2312" w:cs="仿宋_GB2312"/>
          <w:color w:val="auto"/>
          <w:kern w:val="0"/>
          <w:sz w:val="28"/>
          <w:szCs w:val="28"/>
          <w:highlight w:val="none"/>
        </w:rPr>
        <w:t>须按规定承担经营准备期内的水费、电费、物管费和设备等因</w:t>
      </w:r>
      <w:r>
        <w:rPr>
          <w:rFonts w:hint="eastAsia" w:ascii="仿宋_GB2312" w:hAnsi="仿宋_GB2312" w:eastAsia="仿宋_GB2312" w:cs="仿宋_GB2312"/>
          <w:color w:val="auto"/>
          <w:kern w:val="0"/>
          <w:sz w:val="28"/>
          <w:szCs w:val="28"/>
          <w:highlight w:val="none"/>
          <w:lang w:val="en-US" w:eastAsia="zh-CN"/>
        </w:rPr>
        <w:t>其</w:t>
      </w:r>
      <w:r>
        <w:rPr>
          <w:rFonts w:ascii="仿宋_GB2312" w:hAnsi="仿宋_GB2312" w:eastAsia="仿宋_GB2312" w:cs="仿宋_GB2312"/>
          <w:color w:val="auto"/>
          <w:kern w:val="0"/>
          <w:sz w:val="28"/>
          <w:szCs w:val="28"/>
          <w:highlight w:val="none"/>
        </w:rPr>
        <w:t>使用而产生的一切费用</w:t>
      </w:r>
      <w:r>
        <w:rPr>
          <w:rFonts w:hint="eastAsia" w:ascii="仿宋_GB2312" w:hAnsi="仿宋_GB2312" w:eastAsia="仿宋_GB2312" w:cs="仿宋_GB2312"/>
          <w:color w:val="auto"/>
          <w:sz w:val="28"/>
          <w:szCs w:val="28"/>
          <w:highlight w:val="none"/>
        </w:rPr>
        <w:t>。</w:t>
      </w:r>
    </w:p>
    <w:p>
      <w:pPr>
        <w:overflowPunct w:val="0"/>
        <w:autoSpaceDE w:val="0"/>
        <w:ind w:firstLine="481" w:firstLineChars="171"/>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第六条</w:t>
      </w:r>
      <w:r>
        <w:rPr>
          <w:rFonts w:ascii="黑体" w:hAnsi="黑体" w:eastAsia="黑体" w:cs="仿宋_GB2312"/>
          <w:b/>
          <w:color w:val="auto"/>
          <w:kern w:val="0"/>
          <w:sz w:val="28"/>
          <w:szCs w:val="28"/>
          <w:highlight w:val="none"/>
        </w:rPr>
        <w:t xml:space="preserve"> </w:t>
      </w:r>
      <w:r>
        <w:rPr>
          <w:rFonts w:hint="eastAsia" w:ascii="黑体" w:hAnsi="黑体" w:eastAsia="黑体" w:cs="仿宋_GB2312"/>
          <w:b/>
          <w:color w:val="auto"/>
          <w:kern w:val="0"/>
          <w:sz w:val="28"/>
          <w:szCs w:val="28"/>
          <w:highlight w:val="none"/>
        </w:rPr>
        <w:t>履约</w:t>
      </w:r>
      <w:r>
        <w:rPr>
          <w:rFonts w:ascii="黑体" w:hAnsi="黑体" w:eastAsia="黑体" w:cs="仿宋_GB2312"/>
          <w:b/>
          <w:color w:val="auto"/>
          <w:kern w:val="0"/>
          <w:sz w:val="28"/>
          <w:szCs w:val="28"/>
          <w:highlight w:val="none"/>
        </w:rPr>
        <w:t>保证</w:t>
      </w:r>
      <w:r>
        <w:rPr>
          <w:rFonts w:hint="eastAsia" w:ascii="黑体" w:hAnsi="黑体" w:eastAsia="黑体" w:cs="仿宋_GB2312"/>
          <w:b/>
          <w:color w:val="auto"/>
          <w:kern w:val="0"/>
          <w:sz w:val="28"/>
          <w:szCs w:val="28"/>
          <w:highlight w:val="none"/>
        </w:rPr>
        <w:t>金</w:t>
      </w:r>
    </w:p>
    <w:p>
      <w:pPr>
        <w:overflowPunct w:val="0"/>
        <w:autoSpaceDE w:val="0"/>
        <w:ind w:firstLine="478" w:firstLineChars="171"/>
        <w:rPr>
          <w:rFonts w:hint="eastAsia"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 xml:space="preserve">6.1 </w:t>
      </w:r>
      <w:r>
        <w:rPr>
          <w:rFonts w:hint="eastAsia" w:ascii="仿宋_GB2312" w:hAnsi="仿宋_GB2312" w:eastAsia="仿宋_GB2312" w:cs="仿宋_GB2312"/>
          <w:color w:val="auto"/>
          <w:kern w:val="0"/>
          <w:sz w:val="28"/>
          <w:szCs w:val="28"/>
          <w:highlight w:val="none"/>
        </w:rPr>
        <w:t>履约保证金</w:t>
      </w:r>
      <w:r>
        <w:rPr>
          <w:rFonts w:hint="eastAsia" w:ascii="仿宋_GB2312" w:hAnsi="仿宋_GB2312" w:eastAsia="仿宋_GB2312" w:cs="仿宋_GB2312"/>
          <w:color w:val="auto"/>
          <w:kern w:val="0"/>
          <w:sz w:val="28"/>
          <w:szCs w:val="28"/>
          <w:highlight w:val="none"/>
          <w:lang w:val="en-US" w:eastAsia="zh-CN"/>
        </w:rPr>
        <w:t>为</w:t>
      </w:r>
      <w:r>
        <w:rPr>
          <w:rFonts w:hint="eastAsia" w:ascii="仿宋_GB2312" w:hAnsi="仿宋_GB2312" w:eastAsia="仿宋_GB2312" w:cs="仿宋_GB2312"/>
          <w:color w:val="auto"/>
          <w:kern w:val="0"/>
          <w:sz w:val="28"/>
          <w:szCs w:val="28"/>
          <w:highlight w:val="none"/>
        </w:rPr>
        <w:t>成交</w:t>
      </w:r>
      <w:r>
        <w:rPr>
          <w:rFonts w:hint="eastAsia" w:ascii="仿宋_GB2312" w:hAnsi="仿宋_GB2312" w:eastAsia="仿宋_GB2312" w:cs="仿宋_GB2312"/>
          <w:color w:val="auto"/>
          <w:kern w:val="0"/>
          <w:sz w:val="28"/>
          <w:szCs w:val="28"/>
          <w:highlight w:val="none"/>
          <w:lang w:val="en-US" w:eastAsia="zh-CN"/>
        </w:rPr>
        <w:t>价</w:t>
      </w:r>
      <w:r>
        <w:rPr>
          <w:rFonts w:hint="eastAsia" w:ascii="仿宋_GB2312" w:hAnsi="仿宋_GB2312" w:eastAsia="仿宋_GB2312" w:cs="仿宋_GB2312"/>
          <w:color w:val="auto"/>
          <w:kern w:val="0"/>
          <w:sz w:val="28"/>
          <w:szCs w:val="28"/>
          <w:highlight w:val="none"/>
        </w:rPr>
        <w:t>首年租金的50%（以</w:t>
      </w:r>
      <w:r>
        <w:rPr>
          <w:rFonts w:hint="eastAsia" w:ascii="仿宋_GB2312" w:hAnsi="仿宋_GB2312" w:eastAsia="仿宋_GB2312" w:cs="仿宋_GB2312"/>
          <w:color w:val="auto"/>
          <w:kern w:val="0"/>
          <w:sz w:val="28"/>
          <w:szCs w:val="28"/>
          <w:highlight w:val="none"/>
          <w:lang w:val="en-US" w:eastAsia="zh-CN"/>
        </w:rPr>
        <w:t>万</w:t>
      </w:r>
      <w:r>
        <w:rPr>
          <w:rFonts w:hint="eastAsia" w:ascii="仿宋_GB2312" w:hAnsi="仿宋_GB2312" w:eastAsia="仿宋_GB2312" w:cs="仿宋_GB2312"/>
          <w:color w:val="auto"/>
          <w:kern w:val="0"/>
          <w:sz w:val="28"/>
          <w:szCs w:val="28"/>
          <w:highlight w:val="none"/>
        </w:rPr>
        <w:t>元为单位</w:t>
      </w:r>
      <w:r>
        <w:rPr>
          <w:rFonts w:hint="eastAsia" w:ascii="仿宋_GB2312" w:hAnsi="仿宋_GB2312" w:eastAsia="仿宋_GB2312" w:cs="仿宋_GB2312"/>
          <w:color w:val="auto"/>
          <w:kern w:val="0"/>
          <w:sz w:val="28"/>
          <w:szCs w:val="28"/>
          <w:highlight w:val="none"/>
          <w:lang w:eastAsia="zh-CN"/>
        </w:rPr>
        <w:t>向上</w:t>
      </w:r>
      <w:r>
        <w:rPr>
          <w:rFonts w:hint="eastAsia" w:ascii="仿宋_GB2312" w:hAnsi="仿宋_GB2312" w:eastAsia="仿宋_GB2312" w:cs="仿宋_GB2312"/>
          <w:color w:val="auto"/>
          <w:kern w:val="0"/>
          <w:sz w:val="28"/>
          <w:szCs w:val="28"/>
          <w:highlight w:val="none"/>
        </w:rPr>
        <w:t>取整），金额共计人民币￥</w:t>
      </w:r>
      <w:r>
        <w:rPr>
          <w:rFonts w:hint="eastAsia" w:ascii="仿宋_GB2312" w:hAnsi="仿宋_GB2312" w:eastAsia="仿宋_GB2312" w:cs="仿宋_GB2312"/>
          <w:color w:val="auto"/>
          <w:kern w:val="0"/>
          <w:sz w:val="28"/>
          <w:szCs w:val="28"/>
          <w:highlight w:val="none"/>
          <w:u w:val="single"/>
        </w:rPr>
        <w:t xml:space="preserve">   </w:t>
      </w:r>
      <w:r>
        <w:rPr>
          <w:rFonts w:hint="eastAsia" w:ascii="仿宋_GB2312" w:hAnsi="仿宋_GB2312" w:eastAsia="仿宋_GB2312" w:cs="仿宋_GB2312"/>
          <w:color w:val="auto"/>
          <w:kern w:val="0"/>
          <w:sz w:val="28"/>
          <w:szCs w:val="28"/>
          <w:highlight w:val="none"/>
        </w:rPr>
        <w:t>元整（大写：</w:t>
      </w:r>
      <w:r>
        <w:rPr>
          <w:rFonts w:hint="eastAsia" w:ascii="仿宋_GB2312" w:hAnsi="仿宋_GB2312" w:eastAsia="仿宋_GB2312" w:cs="仿宋_GB2312"/>
          <w:color w:val="auto"/>
          <w:kern w:val="0"/>
          <w:sz w:val="28"/>
          <w:szCs w:val="28"/>
          <w:highlight w:val="none"/>
          <w:u w:val="single"/>
        </w:rPr>
        <w:t xml:space="preserve">   </w:t>
      </w:r>
      <w:r>
        <w:rPr>
          <w:rFonts w:hint="eastAsia" w:ascii="仿宋_GB2312" w:hAnsi="仿宋_GB2312" w:eastAsia="仿宋_GB2312" w:cs="仿宋_GB2312"/>
          <w:color w:val="auto"/>
          <w:kern w:val="0"/>
          <w:sz w:val="28"/>
          <w:szCs w:val="28"/>
          <w:highlight w:val="none"/>
        </w:rPr>
        <w:t>元整），</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应在合同签订之前</w:t>
      </w:r>
      <w:r>
        <w:rPr>
          <w:rFonts w:hint="eastAsia" w:ascii="仿宋_GB2312" w:hAnsi="仿宋_GB2312" w:eastAsia="仿宋_GB2312" w:cs="仿宋_GB2312"/>
          <w:color w:val="auto"/>
          <w:kern w:val="0"/>
          <w:sz w:val="28"/>
          <w:szCs w:val="28"/>
          <w:highlight w:val="none"/>
          <w:lang w:val="en-US" w:eastAsia="zh-CN"/>
        </w:rPr>
        <w:t>将履约保证金提交至</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lang w:val="en-US" w:eastAsia="zh-CN"/>
        </w:rPr>
        <w:t>指定账户</w:t>
      </w:r>
      <w:r>
        <w:rPr>
          <w:rFonts w:hint="eastAsia" w:ascii="仿宋_GB2312" w:hAnsi="仿宋_GB2312" w:eastAsia="仿宋_GB2312" w:cs="仿宋_GB2312"/>
          <w:color w:val="auto"/>
          <w:kern w:val="0"/>
          <w:sz w:val="28"/>
          <w:szCs w:val="28"/>
          <w:highlight w:val="none"/>
        </w:rPr>
        <w:t>。</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 xml:space="preserve">6.2 </w:t>
      </w:r>
      <w:r>
        <w:rPr>
          <w:rFonts w:hint="eastAsia" w:ascii="仿宋_GB2312" w:hAnsi="仿宋_GB2312" w:eastAsia="仿宋_GB2312" w:cs="仿宋_GB2312"/>
          <w:color w:val="auto"/>
          <w:kern w:val="0"/>
          <w:sz w:val="28"/>
          <w:szCs w:val="28"/>
          <w:highlight w:val="none"/>
        </w:rPr>
        <w:t>在下列条件全部满足后</w:t>
      </w:r>
      <w:r>
        <w:rPr>
          <w:rFonts w:hint="eastAsia" w:ascii="仿宋_GB2312" w:hAnsi="仿宋_GB2312" w:eastAsia="仿宋_GB2312" w:cs="仿宋_GB2312"/>
          <w:color w:val="auto"/>
          <w:kern w:val="0"/>
          <w:sz w:val="28"/>
          <w:szCs w:val="28"/>
          <w:highlight w:val="none"/>
          <w:lang w:val="en-US" w:eastAsia="zh-CN"/>
        </w:rPr>
        <w:t>15</w:t>
      </w:r>
      <w:r>
        <w:rPr>
          <w:rFonts w:hint="eastAsia" w:ascii="仿宋_GB2312" w:hAnsi="仿宋_GB2312" w:eastAsia="仿宋_GB2312" w:cs="仿宋_GB2312"/>
          <w:color w:val="auto"/>
          <w:kern w:val="0"/>
          <w:sz w:val="28"/>
          <w:szCs w:val="28"/>
          <w:highlight w:val="none"/>
        </w:rPr>
        <w:t>个工作日内，</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将</w:t>
      </w:r>
      <w:r>
        <w:rPr>
          <w:rFonts w:hint="eastAsia" w:ascii="仿宋_GB2312" w:hAnsi="仿宋_GB2312" w:eastAsia="仿宋_GB2312" w:cs="仿宋_GB2312"/>
          <w:color w:val="auto"/>
          <w:kern w:val="0"/>
          <w:sz w:val="28"/>
          <w:szCs w:val="28"/>
          <w:highlight w:val="none"/>
          <w:lang w:val="en-US" w:eastAsia="zh-CN"/>
        </w:rPr>
        <w:t>剩余的</w:t>
      </w:r>
      <w:r>
        <w:rPr>
          <w:rFonts w:hint="eastAsia" w:ascii="仿宋_GB2312" w:hAnsi="仿宋_GB2312" w:eastAsia="仿宋_GB2312" w:cs="仿宋_GB2312"/>
          <w:color w:val="auto"/>
          <w:kern w:val="0"/>
          <w:sz w:val="28"/>
          <w:szCs w:val="28"/>
          <w:highlight w:val="none"/>
        </w:rPr>
        <w:t>履约</w:t>
      </w:r>
      <w:r>
        <w:rPr>
          <w:rFonts w:ascii="仿宋_GB2312" w:hAnsi="仿宋_GB2312" w:eastAsia="仿宋_GB2312" w:cs="仿宋_GB2312"/>
          <w:color w:val="auto"/>
          <w:kern w:val="0"/>
          <w:sz w:val="28"/>
          <w:szCs w:val="28"/>
          <w:highlight w:val="none"/>
        </w:rPr>
        <w:t>保证</w:t>
      </w:r>
      <w:r>
        <w:rPr>
          <w:rFonts w:hint="eastAsia" w:ascii="仿宋_GB2312" w:hAnsi="仿宋_GB2312" w:eastAsia="仿宋_GB2312" w:cs="仿宋_GB2312"/>
          <w:color w:val="auto"/>
          <w:kern w:val="0"/>
          <w:sz w:val="28"/>
          <w:szCs w:val="28"/>
          <w:highlight w:val="none"/>
        </w:rPr>
        <w:t>金无息退回给</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6.2.1 租赁终止（含</w:t>
      </w:r>
      <w:r>
        <w:rPr>
          <w:rFonts w:hint="eastAsia" w:ascii="仿宋_GB2312" w:hAnsi="仿宋_GB2312" w:eastAsia="仿宋_GB2312" w:cs="仿宋_GB2312"/>
          <w:color w:val="auto"/>
          <w:kern w:val="0"/>
          <w:sz w:val="28"/>
          <w:szCs w:val="28"/>
          <w:highlight w:val="none"/>
        </w:rPr>
        <w:t>本</w:t>
      </w:r>
      <w:r>
        <w:rPr>
          <w:rFonts w:ascii="仿宋_GB2312" w:hAnsi="仿宋_GB2312" w:eastAsia="仿宋_GB2312" w:cs="仿宋_GB2312"/>
          <w:color w:val="auto"/>
          <w:kern w:val="0"/>
          <w:sz w:val="28"/>
          <w:szCs w:val="28"/>
          <w:highlight w:val="none"/>
        </w:rPr>
        <w:t>合同约定的租赁期限届满、非因</w:t>
      </w:r>
      <w:r>
        <w:rPr>
          <w:rFonts w:hint="eastAsia" w:ascii="仿宋_GB2312" w:hAnsi="仿宋_GB2312" w:eastAsia="仿宋_GB2312" w:cs="仿宋_GB2312"/>
          <w:color w:val="auto"/>
          <w:kern w:val="0"/>
          <w:sz w:val="28"/>
          <w:szCs w:val="28"/>
          <w:highlight w:val="none"/>
          <w:lang w:eastAsia="zh-CN"/>
        </w:rPr>
        <w:t>乙方</w:t>
      </w:r>
      <w:r>
        <w:rPr>
          <w:rFonts w:ascii="仿宋_GB2312" w:hAnsi="仿宋_GB2312" w:eastAsia="仿宋_GB2312" w:cs="仿宋_GB2312"/>
          <w:color w:val="auto"/>
          <w:kern w:val="0"/>
          <w:sz w:val="28"/>
          <w:szCs w:val="28"/>
          <w:highlight w:val="none"/>
        </w:rPr>
        <w:t>违约导致的合同解除及租赁终止，下同）</w:t>
      </w:r>
      <w:r>
        <w:rPr>
          <w:rFonts w:hint="eastAsia" w:ascii="仿宋_GB2312" w:hAnsi="仿宋_GB2312" w:eastAsia="仿宋_GB2312" w:cs="仿宋_GB2312"/>
          <w:color w:val="auto"/>
          <w:kern w:val="0"/>
          <w:sz w:val="28"/>
          <w:szCs w:val="28"/>
          <w:highlight w:val="none"/>
        </w:rPr>
        <w:t>。</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 xml:space="preserve">6.2.2 </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已付</w:t>
      </w:r>
      <w:r>
        <w:rPr>
          <w:rFonts w:hint="eastAsia" w:ascii="仿宋_GB2312" w:hAnsi="仿宋_GB2312" w:eastAsia="仿宋_GB2312" w:cs="仿宋_GB2312"/>
          <w:color w:val="auto"/>
          <w:kern w:val="0"/>
          <w:sz w:val="28"/>
          <w:szCs w:val="28"/>
          <w:highlight w:val="none"/>
          <w:lang w:val="en-US" w:eastAsia="zh-CN"/>
        </w:rPr>
        <w:t>清</w:t>
      </w:r>
      <w:r>
        <w:rPr>
          <w:rFonts w:hint="eastAsia" w:ascii="仿宋_GB2312" w:hAnsi="仿宋_GB2312" w:eastAsia="仿宋_GB2312" w:cs="仿宋_GB2312"/>
          <w:color w:val="auto"/>
          <w:kern w:val="0"/>
          <w:sz w:val="28"/>
          <w:szCs w:val="28"/>
          <w:highlight w:val="none"/>
        </w:rPr>
        <w:t>合同约定的各项费用</w:t>
      </w:r>
      <w:r>
        <w:rPr>
          <w:rFonts w:hint="eastAsia" w:ascii="仿宋_GB2312" w:hAnsi="仿宋_GB2312" w:eastAsia="仿宋_GB2312" w:cs="仿宋_GB2312"/>
          <w:color w:val="auto"/>
          <w:kern w:val="0"/>
          <w:sz w:val="28"/>
          <w:szCs w:val="28"/>
          <w:highlight w:val="none"/>
          <w:lang w:val="en-US" w:eastAsia="zh-CN"/>
        </w:rPr>
        <w:t>或甲方从履约保证金中扣除应扣费用后尚有余额</w:t>
      </w:r>
      <w:r>
        <w:rPr>
          <w:rFonts w:hint="eastAsia" w:ascii="仿宋_GB2312" w:hAnsi="仿宋_GB2312" w:eastAsia="仿宋_GB2312" w:cs="仿宋_GB2312"/>
          <w:color w:val="auto"/>
          <w:kern w:val="0"/>
          <w:sz w:val="28"/>
          <w:szCs w:val="28"/>
          <w:highlight w:val="none"/>
        </w:rPr>
        <w:t>。</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 xml:space="preserve">6.2.3 </w:t>
      </w:r>
      <w:r>
        <w:rPr>
          <w:rFonts w:hint="eastAsia" w:ascii="仿宋_GB2312" w:hAnsi="仿宋_GB2312" w:eastAsia="仿宋_GB2312" w:cs="仿宋_GB2312"/>
          <w:color w:val="auto"/>
          <w:kern w:val="0"/>
          <w:sz w:val="28"/>
          <w:szCs w:val="28"/>
          <w:highlight w:val="none"/>
          <w:lang w:eastAsia="zh-CN"/>
        </w:rPr>
        <w:t>乙方</w:t>
      </w:r>
      <w:r>
        <w:rPr>
          <w:rFonts w:ascii="仿宋_GB2312" w:hAnsi="仿宋_GB2312" w:eastAsia="仿宋_GB2312" w:cs="仿宋_GB2312"/>
          <w:color w:val="auto"/>
          <w:kern w:val="0"/>
          <w:sz w:val="28"/>
          <w:szCs w:val="28"/>
          <w:highlight w:val="none"/>
        </w:rPr>
        <w:t>已将</w:t>
      </w:r>
      <w:r>
        <w:rPr>
          <w:rFonts w:hint="eastAsia" w:ascii="仿宋_GB2312" w:hAnsi="仿宋_GB2312" w:eastAsia="仿宋_GB2312" w:cs="仿宋_GB2312"/>
          <w:color w:val="auto"/>
          <w:kern w:val="0"/>
          <w:sz w:val="28"/>
          <w:szCs w:val="28"/>
          <w:highlight w:val="none"/>
        </w:rPr>
        <w:t>物业空间</w:t>
      </w:r>
      <w:r>
        <w:rPr>
          <w:rFonts w:ascii="仿宋_GB2312" w:hAnsi="仿宋_GB2312" w:eastAsia="仿宋_GB2312" w:cs="仿宋_GB2312"/>
          <w:color w:val="auto"/>
          <w:kern w:val="0"/>
          <w:sz w:val="28"/>
          <w:szCs w:val="28"/>
          <w:highlight w:val="none"/>
        </w:rPr>
        <w:t>及附属设施设备物完好、整洁地交还给</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 xml:space="preserve">6.2.4 </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向</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书面提出履约</w:t>
      </w:r>
      <w:r>
        <w:rPr>
          <w:rFonts w:ascii="仿宋_GB2312" w:hAnsi="仿宋_GB2312" w:eastAsia="仿宋_GB2312" w:cs="仿宋_GB2312"/>
          <w:color w:val="auto"/>
          <w:kern w:val="0"/>
          <w:sz w:val="28"/>
          <w:szCs w:val="28"/>
          <w:highlight w:val="none"/>
        </w:rPr>
        <w:t>保证</w:t>
      </w:r>
      <w:r>
        <w:rPr>
          <w:rFonts w:hint="eastAsia" w:ascii="仿宋_GB2312" w:hAnsi="仿宋_GB2312" w:eastAsia="仿宋_GB2312" w:cs="仿宋_GB2312"/>
          <w:color w:val="auto"/>
          <w:kern w:val="0"/>
          <w:sz w:val="28"/>
          <w:szCs w:val="28"/>
          <w:highlight w:val="none"/>
        </w:rPr>
        <w:t>金返还申请（附</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收款账户）。</w:t>
      </w:r>
    </w:p>
    <w:p>
      <w:pPr>
        <w:overflowPunct w:val="0"/>
        <w:autoSpaceDE w:val="0"/>
        <w:ind w:firstLine="478" w:firstLineChars="171"/>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 xml:space="preserve">6.3 </w:t>
      </w:r>
      <w:r>
        <w:rPr>
          <w:rFonts w:hint="eastAsia" w:ascii="仿宋_GB2312" w:hAnsi="仿宋_GB2312" w:eastAsia="仿宋_GB2312" w:cs="仿宋_GB2312"/>
          <w:color w:val="auto"/>
          <w:kern w:val="0"/>
          <w:sz w:val="28"/>
          <w:szCs w:val="28"/>
          <w:highlight w:val="none"/>
        </w:rPr>
        <w:t>租赁期限内，若</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存在违约或其他损害</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利益的行为，</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有权从履约</w:t>
      </w:r>
      <w:r>
        <w:rPr>
          <w:rFonts w:hint="eastAsia" w:ascii="仿宋_GB2312" w:hAnsi="仿宋_GB2312" w:eastAsia="仿宋_GB2312" w:cs="仿宋_GB2312"/>
          <w:color w:val="auto"/>
          <w:kern w:val="0"/>
          <w:sz w:val="28"/>
          <w:szCs w:val="28"/>
          <w:highlight w:val="none"/>
          <w:lang w:val="en-US" w:eastAsia="zh-CN"/>
        </w:rPr>
        <w:t>保证金</w:t>
      </w:r>
      <w:r>
        <w:rPr>
          <w:rFonts w:hint="eastAsia" w:ascii="仿宋_GB2312" w:hAnsi="仿宋_GB2312" w:eastAsia="仿宋_GB2312" w:cs="仿宋_GB2312"/>
          <w:color w:val="auto"/>
          <w:kern w:val="0"/>
          <w:sz w:val="28"/>
          <w:szCs w:val="28"/>
          <w:highlight w:val="none"/>
        </w:rPr>
        <w:t>中扣除</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应付的违约金、赔偿金、租金</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水电费（水电费优先从水电费保证金扣除，不足部分再从履约保证金扣除补足）</w:t>
      </w:r>
      <w:r>
        <w:rPr>
          <w:rFonts w:hint="eastAsia" w:ascii="仿宋_GB2312" w:hAnsi="仿宋_GB2312" w:eastAsia="仿宋_GB2312" w:cs="仿宋_GB2312"/>
          <w:color w:val="auto"/>
          <w:kern w:val="0"/>
          <w:sz w:val="28"/>
          <w:szCs w:val="28"/>
          <w:highlight w:val="none"/>
        </w:rPr>
        <w:t>或损失</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应将不足部分</w:t>
      </w:r>
      <w:r>
        <w:rPr>
          <w:rFonts w:hint="eastAsia" w:ascii="仿宋_GB2312" w:hAnsi="仿宋_GB2312" w:eastAsia="仿宋_GB2312" w:cs="仿宋_GB2312"/>
          <w:color w:val="auto"/>
          <w:kern w:val="0"/>
          <w:sz w:val="28"/>
          <w:szCs w:val="28"/>
          <w:highlight w:val="none"/>
          <w:lang w:eastAsia="zh-CN"/>
        </w:rPr>
        <w:t>和被扣除的履约保证金在扣除后</w:t>
      </w:r>
      <w:r>
        <w:rPr>
          <w:rFonts w:hint="eastAsia" w:ascii="仿宋_GB2312" w:hAnsi="仿宋_GB2312" w:eastAsia="仿宋_GB2312" w:cs="仿宋_GB2312"/>
          <w:color w:val="auto"/>
          <w:kern w:val="0"/>
          <w:sz w:val="28"/>
          <w:szCs w:val="28"/>
          <w:highlight w:val="none"/>
          <w:lang w:val="en-US" w:eastAsia="zh-CN"/>
        </w:rPr>
        <w:t>30个工作日内</w:t>
      </w:r>
      <w:r>
        <w:rPr>
          <w:rFonts w:hint="eastAsia" w:ascii="仿宋_GB2312" w:hAnsi="仿宋_GB2312" w:eastAsia="仿宋_GB2312" w:cs="仿宋_GB2312"/>
          <w:color w:val="auto"/>
          <w:kern w:val="0"/>
          <w:sz w:val="28"/>
          <w:szCs w:val="28"/>
          <w:highlight w:val="none"/>
        </w:rPr>
        <w:t>予以补足。</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6</w:t>
      </w:r>
      <w:r>
        <w:rPr>
          <w:rFonts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rPr>
        <w:t xml:space="preserve"> </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逾期未补足履约</w:t>
      </w:r>
      <w:r>
        <w:rPr>
          <w:rFonts w:ascii="仿宋_GB2312" w:hAnsi="仿宋_GB2312" w:eastAsia="仿宋_GB2312" w:cs="仿宋_GB2312"/>
          <w:color w:val="auto"/>
          <w:kern w:val="0"/>
          <w:sz w:val="28"/>
          <w:szCs w:val="28"/>
          <w:highlight w:val="none"/>
        </w:rPr>
        <w:t>保证</w:t>
      </w:r>
      <w:r>
        <w:rPr>
          <w:rFonts w:hint="eastAsia" w:ascii="仿宋_GB2312" w:hAnsi="仿宋_GB2312" w:eastAsia="仿宋_GB2312" w:cs="仿宋_GB2312"/>
          <w:color w:val="auto"/>
          <w:kern w:val="0"/>
          <w:sz w:val="28"/>
          <w:szCs w:val="28"/>
          <w:highlight w:val="none"/>
        </w:rPr>
        <w:t>金的，每逾期1天，按未补足履约</w:t>
      </w:r>
      <w:r>
        <w:rPr>
          <w:rFonts w:ascii="仿宋_GB2312" w:hAnsi="仿宋_GB2312" w:eastAsia="仿宋_GB2312" w:cs="仿宋_GB2312"/>
          <w:color w:val="auto"/>
          <w:kern w:val="0"/>
          <w:sz w:val="28"/>
          <w:szCs w:val="28"/>
          <w:highlight w:val="none"/>
        </w:rPr>
        <w:t>保证</w:t>
      </w:r>
      <w:r>
        <w:rPr>
          <w:rFonts w:hint="eastAsia" w:ascii="仿宋_GB2312" w:hAnsi="仿宋_GB2312" w:eastAsia="仿宋_GB2312" w:cs="仿宋_GB2312"/>
          <w:color w:val="auto"/>
          <w:kern w:val="0"/>
          <w:sz w:val="28"/>
          <w:szCs w:val="28"/>
          <w:highlight w:val="none"/>
        </w:rPr>
        <w:t>金金额的0.2‰（万分之二）支付违约金</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rPr>
        <w:t>逾期</w:t>
      </w:r>
      <w:r>
        <w:rPr>
          <w:rFonts w:hint="eastAsia" w:ascii="仿宋_GB2312" w:hAnsi="仿宋_GB2312" w:eastAsia="仿宋_GB2312" w:cs="仿宋_GB2312"/>
          <w:color w:val="auto"/>
          <w:kern w:val="0"/>
          <w:sz w:val="28"/>
          <w:szCs w:val="28"/>
          <w:highlight w:val="none"/>
          <w:lang w:val="en-US" w:eastAsia="zh-CN"/>
        </w:rPr>
        <w:t>30</w:t>
      </w:r>
      <w:r>
        <w:rPr>
          <w:rFonts w:hint="eastAsia" w:ascii="仿宋_GB2312" w:hAnsi="仿宋_GB2312" w:eastAsia="仿宋_GB2312" w:cs="仿宋_GB2312"/>
          <w:color w:val="auto"/>
          <w:kern w:val="0"/>
          <w:sz w:val="28"/>
          <w:szCs w:val="28"/>
          <w:highlight w:val="none"/>
        </w:rPr>
        <w:t>天，扣除全部已缴纳的履约</w:t>
      </w:r>
      <w:r>
        <w:rPr>
          <w:rFonts w:ascii="仿宋_GB2312" w:hAnsi="仿宋_GB2312" w:eastAsia="仿宋_GB2312" w:cs="仿宋_GB2312"/>
          <w:color w:val="auto"/>
          <w:kern w:val="0"/>
          <w:sz w:val="28"/>
          <w:szCs w:val="28"/>
          <w:highlight w:val="none"/>
        </w:rPr>
        <w:t>保证</w:t>
      </w:r>
      <w:r>
        <w:rPr>
          <w:rFonts w:hint="eastAsia" w:ascii="仿宋_GB2312" w:hAnsi="仿宋_GB2312" w:eastAsia="仿宋_GB2312" w:cs="仿宋_GB2312"/>
          <w:color w:val="auto"/>
          <w:kern w:val="0"/>
          <w:sz w:val="28"/>
          <w:szCs w:val="28"/>
          <w:highlight w:val="none"/>
        </w:rPr>
        <w:t>金作为违约金外，同时</w:t>
      </w: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有权</w:t>
      </w:r>
      <w:r>
        <w:rPr>
          <w:rFonts w:hint="eastAsia" w:ascii="仿宋_GB2312" w:hAnsi="仿宋_GB2312" w:eastAsia="仿宋_GB2312" w:cs="仿宋_GB2312"/>
          <w:color w:val="auto"/>
          <w:kern w:val="0"/>
          <w:sz w:val="28"/>
          <w:szCs w:val="28"/>
          <w:highlight w:val="none"/>
          <w:lang w:val="en-US" w:eastAsia="zh-CN"/>
        </w:rPr>
        <w:t>单方</w:t>
      </w:r>
      <w:r>
        <w:rPr>
          <w:rFonts w:hint="eastAsia" w:ascii="仿宋_GB2312" w:hAnsi="仿宋_GB2312" w:eastAsia="仿宋_GB2312" w:cs="仿宋_GB2312"/>
          <w:color w:val="auto"/>
          <w:kern w:val="0"/>
          <w:sz w:val="28"/>
          <w:szCs w:val="28"/>
          <w:highlight w:val="none"/>
        </w:rPr>
        <w:t>解除本合同</w:t>
      </w:r>
      <w:r>
        <w:rPr>
          <w:rFonts w:hint="eastAsia" w:ascii="仿宋_GB2312" w:hAnsi="仿宋_GB2312" w:eastAsia="仿宋_GB2312" w:cs="仿宋_GB2312"/>
          <w:color w:val="auto"/>
          <w:kern w:val="0"/>
          <w:sz w:val="28"/>
          <w:szCs w:val="28"/>
          <w:highlight w:val="none"/>
          <w:lang w:val="en-US" w:eastAsia="zh-CN"/>
        </w:rPr>
        <w:t>且不承担任何违约、赔偿责任；因此给甲方造成损失的，甲方有权追究赔偿责任。</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ascii="仿宋_GB2312" w:hAnsi="仿宋_GB2312" w:eastAsia="仿宋_GB2312" w:cs="仿宋_GB2312"/>
          <w:color w:val="auto"/>
          <w:kern w:val="0"/>
          <w:sz w:val="28"/>
          <w:szCs w:val="28"/>
          <w:highlight w:val="none"/>
        </w:rPr>
        <w:t>6.</w:t>
      </w:r>
      <w:r>
        <w:rPr>
          <w:rFonts w:hint="eastAsia" w:ascii="仿宋_GB2312" w:hAnsi="仿宋_GB2312" w:eastAsia="仿宋_GB2312" w:cs="仿宋_GB2312"/>
          <w:color w:val="auto"/>
          <w:kern w:val="0"/>
          <w:sz w:val="28"/>
          <w:szCs w:val="28"/>
          <w:highlight w:val="none"/>
          <w:lang w:val="en-US" w:eastAsia="zh-CN"/>
        </w:rPr>
        <w:t xml:space="preserve">5 </w:t>
      </w:r>
      <w:r>
        <w:rPr>
          <w:rFonts w:hint="eastAsia" w:ascii="仿宋_GB2312" w:hAnsi="仿宋_GB2312" w:eastAsia="仿宋_GB2312" w:cs="仿宋_GB2312"/>
          <w:color w:val="auto"/>
          <w:kern w:val="0"/>
          <w:sz w:val="28"/>
          <w:szCs w:val="28"/>
          <w:highlight w:val="none"/>
          <w:lang w:eastAsia="zh-CN"/>
        </w:rPr>
        <w:t>乙方</w:t>
      </w:r>
      <w:r>
        <w:rPr>
          <w:rFonts w:ascii="仿宋_GB2312" w:hAnsi="仿宋_GB2312" w:eastAsia="仿宋_GB2312" w:cs="仿宋_GB2312"/>
          <w:color w:val="auto"/>
          <w:kern w:val="0"/>
          <w:sz w:val="28"/>
          <w:szCs w:val="28"/>
          <w:highlight w:val="none"/>
        </w:rPr>
        <w:t>将</w:t>
      </w:r>
      <w:r>
        <w:rPr>
          <w:rFonts w:hint="eastAsia" w:ascii="仿宋_GB2312" w:hAnsi="仿宋_GB2312" w:eastAsia="仿宋_GB2312" w:cs="仿宋_GB2312"/>
          <w:color w:val="auto"/>
          <w:kern w:val="0"/>
          <w:sz w:val="28"/>
          <w:szCs w:val="28"/>
          <w:highlight w:val="none"/>
        </w:rPr>
        <w:t>履约</w:t>
      </w:r>
      <w:r>
        <w:rPr>
          <w:rFonts w:ascii="仿宋_GB2312" w:hAnsi="仿宋_GB2312" w:eastAsia="仿宋_GB2312" w:cs="仿宋_GB2312"/>
          <w:color w:val="auto"/>
          <w:kern w:val="0"/>
          <w:sz w:val="28"/>
          <w:szCs w:val="28"/>
          <w:highlight w:val="none"/>
        </w:rPr>
        <w:t>保证</w:t>
      </w:r>
      <w:r>
        <w:rPr>
          <w:rFonts w:hint="eastAsia" w:ascii="仿宋_GB2312" w:hAnsi="仿宋_GB2312" w:eastAsia="仿宋_GB2312" w:cs="仿宋_GB2312"/>
          <w:color w:val="auto"/>
          <w:kern w:val="0"/>
          <w:sz w:val="28"/>
          <w:szCs w:val="28"/>
          <w:highlight w:val="none"/>
        </w:rPr>
        <w:t>金支付到如下账号：</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单位名称：</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开户行：</w:t>
      </w:r>
    </w:p>
    <w:p>
      <w:pPr>
        <w:overflowPunct w:val="0"/>
        <w:autoSpaceDE w:val="0"/>
        <w:ind w:firstLine="478" w:firstLineChars="171"/>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账号：</w:t>
      </w:r>
    </w:p>
    <w:p>
      <w:pPr>
        <w:overflowPunct w:val="0"/>
        <w:autoSpaceDE w:val="0"/>
        <w:spacing w:line="480" w:lineRule="exact"/>
        <w:ind w:firstLine="562" w:firstLineChars="200"/>
        <w:outlineLvl w:val="0"/>
        <w:rPr>
          <w:rFonts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第七条 租金及支付方式</w:t>
      </w:r>
    </w:p>
    <w:p>
      <w:pPr>
        <w:overflowPunct w:val="0"/>
        <w:autoSpaceDE w:val="0"/>
        <w:ind w:firstLine="478" w:firstLineChars="171"/>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7.1 租金</w:t>
      </w:r>
    </w:p>
    <w:p>
      <w:pPr>
        <w:overflowPunct w:val="0"/>
        <w:autoSpaceDE w:val="0"/>
        <w:ind w:firstLine="478" w:firstLineChars="171"/>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7.1.1 经营准备期满后的次日为物业空间的起租日，</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无论是否存在对外商业经营行为或无论经营盈亏，租金按起租日起算。</w:t>
      </w:r>
    </w:p>
    <w:p>
      <w:pPr>
        <w:overflowPunct w:val="0"/>
        <w:autoSpaceDE w:val="0"/>
        <w:ind w:firstLine="478" w:firstLineChars="171"/>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7.1.2 本合同</w:t>
      </w:r>
      <w:r>
        <w:rPr>
          <w:rFonts w:hint="eastAsia" w:ascii="仿宋_GB2312" w:hAnsi="仿宋_GB2312" w:eastAsia="仿宋_GB2312" w:cs="仿宋_GB2312"/>
          <w:color w:val="auto"/>
          <w:kern w:val="0"/>
          <w:sz w:val="28"/>
          <w:szCs w:val="28"/>
          <w:highlight w:val="none"/>
          <w:lang w:val="en-US" w:eastAsia="zh-CN"/>
        </w:rPr>
        <w:t>10年</w:t>
      </w:r>
      <w:r>
        <w:rPr>
          <w:rFonts w:hint="eastAsia" w:ascii="仿宋_GB2312" w:hAnsi="仿宋_GB2312" w:eastAsia="仿宋_GB2312" w:cs="仿宋_GB2312"/>
          <w:color w:val="auto"/>
          <w:kern w:val="0"/>
          <w:sz w:val="28"/>
          <w:szCs w:val="28"/>
          <w:highlight w:val="none"/>
        </w:rPr>
        <w:t>总租金为人民币</w:t>
      </w:r>
      <w:r>
        <w:rPr>
          <w:rFonts w:hint="eastAsia" w:ascii="仿宋_GB2312" w:hAnsi="仿宋_GB2312" w:eastAsia="仿宋_GB2312" w:cs="仿宋_GB2312"/>
          <w:color w:val="auto"/>
          <w:kern w:val="0"/>
          <w:sz w:val="28"/>
          <w:szCs w:val="28"/>
          <w:highlight w:val="none"/>
          <w:u w:val="single"/>
        </w:rPr>
        <w:t xml:space="preserve">   </w:t>
      </w:r>
      <w:r>
        <w:rPr>
          <w:rFonts w:hint="eastAsia" w:ascii="仿宋_GB2312" w:hAnsi="仿宋_GB2312" w:eastAsia="仿宋_GB2312" w:cs="仿宋_GB2312"/>
          <w:color w:val="auto"/>
          <w:kern w:val="0"/>
          <w:sz w:val="28"/>
          <w:szCs w:val="28"/>
          <w:highlight w:val="none"/>
        </w:rPr>
        <w:t>万元，大写：</w:t>
      </w:r>
      <w:r>
        <w:rPr>
          <w:rFonts w:hint="eastAsia" w:ascii="仿宋_GB2312" w:hAnsi="仿宋_GB2312" w:eastAsia="仿宋_GB2312" w:cs="仿宋_GB2312"/>
          <w:color w:val="auto"/>
          <w:kern w:val="0"/>
          <w:sz w:val="28"/>
          <w:szCs w:val="28"/>
          <w:highlight w:val="none"/>
          <w:u w:val="single"/>
        </w:rPr>
        <w:t xml:space="preserve">   </w:t>
      </w:r>
      <w:r>
        <w:rPr>
          <w:rFonts w:hint="eastAsia" w:ascii="仿宋_GB2312" w:hAnsi="仿宋_GB2312" w:eastAsia="仿宋_GB2312" w:cs="仿宋_GB2312"/>
          <w:color w:val="auto"/>
          <w:kern w:val="0"/>
          <w:sz w:val="28"/>
          <w:szCs w:val="28"/>
          <w:highlight w:val="none"/>
        </w:rPr>
        <w:t>万元 ；（含税，开具增值税发票）。</w:t>
      </w:r>
    </w:p>
    <w:p>
      <w:pPr>
        <w:overflowPunct w:val="0"/>
        <w:autoSpaceDE w:val="0"/>
        <w:ind w:firstLine="478" w:firstLineChars="171"/>
        <w:rPr>
          <w:rFonts w:hint="eastAsia" w:ascii="仿宋_GB2312" w:hAnsi="仿宋_GB2312" w:eastAsia="仿宋_GB2312" w:cs="仿宋_GB2312"/>
          <w:color w:val="auto"/>
          <w:kern w:val="0"/>
          <w:sz w:val="28"/>
          <w:szCs w:val="28"/>
          <w:highlight w:val="none"/>
        </w:rPr>
      </w:pPr>
      <w:r>
        <w:rPr>
          <w:rFonts w:hint="default" w:ascii="仿宋_GB2312" w:hAnsi="仿宋_GB2312" w:eastAsia="仿宋_GB2312" w:cs="仿宋_GB2312"/>
          <w:color w:val="auto"/>
          <w:kern w:val="0"/>
          <w:sz w:val="28"/>
          <w:szCs w:val="28"/>
          <w:highlight w:val="none"/>
          <w:lang w:val="en-US" w:eastAsia="zh-CN"/>
        </w:rPr>
        <w:t>7.2</w:t>
      </w:r>
      <w:r>
        <w:rPr>
          <w:rFonts w:hint="eastAsia" w:ascii="仿宋_GB2312" w:hAnsi="仿宋_GB2312" w:eastAsia="仿宋_GB2312" w:cs="仿宋_GB2312"/>
          <w:color w:val="auto"/>
          <w:kern w:val="0"/>
          <w:sz w:val="28"/>
          <w:szCs w:val="28"/>
          <w:highlight w:val="none"/>
          <w:lang w:val="en-US" w:eastAsia="zh-CN"/>
        </w:rPr>
        <w:t xml:space="preserve"> </w:t>
      </w:r>
      <w:r>
        <w:rPr>
          <w:rFonts w:hint="default" w:ascii="仿宋_GB2312" w:hAnsi="仿宋_GB2312" w:eastAsia="仿宋_GB2312" w:cs="仿宋_GB2312"/>
          <w:color w:val="auto"/>
          <w:kern w:val="0"/>
          <w:sz w:val="28"/>
          <w:szCs w:val="28"/>
          <w:highlight w:val="none"/>
          <w:lang w:val="en-US" w:eastAsia="zh-CN"/>
        </w:rPr>
        <w:t>租金占比</w:t>
      </w:r>
    </w:p>
    <w:p>
      <w:pPr>
        <w:numPr>
          <w:ilvl w:val="255"/>
          <w:numId w:val="0"/>
        </w:numPr>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bCs/>
          <w:color w:val="auto"/>
          <w:sz w:val="28"/>
          <w:szCs w:val="28"/>
          <w:highlight w:val="none"/>
        </w:rPr>
        <w:t>租金占比表</w:t>
      </w:r>
    </w:p>
    <w:tbl>
      <w:tblPr>
        <w:tblStyle w:val="14"/>
        <w:tblpPr w:leftFromText="180" w:rightFromText="180" w:vertAnchor="text" w:horzAnchor="page" w:tblpX="1794" w:tblpY="226"/>
        <w:tblOverlap w:val="never"/>
        <w:tblW w:w="4999" w:type="pct"/>
        <w:jc w:val="center"/>
        <w:tblLayout w:type="autofit"/>
        <w:tblCellMar>
          <w:top w:w="0" w:type="dxa"/>
          <w:left w:w="108" w:type="dxa"/>
          <w:bottom w:w="0" w:type="dxa"/>
          <w:right w:w="108" w:type="dxa"/>
        </w:tblCellMar>
      </w:tblPr>
      <w:tblGrid>
        <w:gridCol w:w="1116"/>
        <w:gridCol w:w="728"/>
        <w:gridCol w:w="728"/>
        <w:gridCol w:w="728"/>
        <w:gridCol w:w="728"/>
        <w:gridCol w:w="729"/>
        <w:gridCol w:w="729"/>
        <w:gridCol w:w="750"/>
        <w:gridCol w:w="750"/>
        <w:gridCol w:w="750"/>
        <w:gridCol w:w="784"/>
      </w:tblGrid>
      <w:tr>
        <w:tblPrEx>
          <w:tblCellMar>
            <w:top w:w="0" w:type="dxa"/>
            <w:left w:w="108" w:type="dxa"/>
            <w:bottom w:w="0" w:type="dxa"/>
            <w:right w:w="108" w:type="dxa"/>
          </w:tblCellMar>
        </w:tblPrEx>
        <w:trPr>
          <w:trHeight w:val="90" w:hRule="atLeast"/>
          <w:jc w:val="center"/>
        </w:trPr>
        <w:tc>
          <w:tcPr>
            <w:tcW w:w="6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kern w:val="2"/>
                <w:sz w:val="18"/>
                <w:szCs w:val="18"/>
                <w:highlight w:val="none"/>
                <w:u w:val="none"/>
                <w:lang w:val="en-US" w:eastAsia="zh-CN" w:bidi="ar"/>
              </w:rPr>
              <w:t>站点</w:t>
            </w:r>
          </w:p>
        </w:tc>
        <w:tc>
          <w:tcPr>
            <w:tcW w:w="4348"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i w:val="0"/>
                <w:iCs w:val="0"/>
                <w:color w:val="auto"/>
                <w:kern w:val="2"/>
                <w:sz w:val="18"/>
                <w:szCs w:val="18"/>
                <w:highlight w:val="none"/>
                <w:u w:val="none"/>
                <w:lang w:val="en-US" w:eastAsia="zh-CN" w:bidi="ar"/>
              </w:rPr>
              <w:t>年度租金价值占比</w:t>
            </w:r>
          </w:p>
        </w:tc>
      </w:tr>
      <w:tr>
        <w:tblPrEx>
          <w:tblCellMar>
            <w:top w:w="0" w:type="dxa"/>
            <w:left w:w="108" w:type="dxa"/>
            <w:bottom w:w="0" w:type="dxa"/>
            <w:right w:w="108" w:type="dxa"/>
          </w:tblCellMar>
        </w:tblPrEx>
        <w:trPr>
          <w:trHeight w:val="90" w:hRule="atLeast"/>
          <w:jc w:val="center"/>
        </w:trPr>
        <w:tc>
          <w:tcPr>
            <w:tcW w:w="6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_GB2312" w:hAnsi="仿宋_GB2312" w:eastAsia="仿宋_GB2312" w:cs="仿宋_GB2312"/>
                <w:color w:val="auto"/>
                <w:sz w:val="18"/>
                <w:szCs w:val="18"/>
                <w:highlight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第一年</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第二年</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第三年</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第四年</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第五年</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第六年</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第七年</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第八年</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第九年</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color w:val="auto"/>
                <w:kern w:val="2"/>
                <w:sz w:val="18"/>
                <w:szCs w:val="18"/>
                <w:highlight w:val="none"/>
                <w:u w:val="none"/>
                <w:lang w:bidi="ar"/>
              </w:rPr>
            </w:pPr>
            <w:r>
              <w:rPr>
                <w:rFonts w:hint="eastAsia" w:ascii="仿宋_GB2312" w:hAnsi="仿宋_GB2312" w:eastAsia="仿宋_GB2312" w:cs="仿宋_GB2312"/>
                <w:color w:val="auto"/>
                <w:kern w:val="2"/>
                <w:sz w:val="18"/>
                <w:szCs w:val="18"/>
                <w:highlight w:val="none"/>
                <w:lang w:val="en-US" w:eastAsia="zh-CN" w:bidi="ar"/>
              </w:rPr>
              <w:t>第十年</w:t>
            </w:r>
          </w:p>
        </w:tc>
      </w:tr>
      <w:tr>
        <w:tblPrEx>
          <w:tblCellMar>
            <w:top w:w="0" w:type="dxa"/>
            <w:left w:w="108" w:type="dxa"/>
            <w:bottom w:w="0" w:type="dxa"/>
            <w:right w:w="108" w:type="dxa"/>
          </w:tblCellMar>
        </w:tblPrEx>
        <w:trPr>
          <w:trHeight w:val="90" w:hRule="atLeast"/>
          <w:jc w:val="center"/>
        </w:trPr>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sz w:val="18"/>
                <w:szCs w:val="18"/>
                <w:highlight w:val="none"/>
                <w:lang w:val="en-US" w:eastAsia="zh-CN"/>
              </w:rPr>
              <w:t>贵阳火车站</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18"/>
                <w:szCs w:val="18"/>
                <w:highlight w:val="none"/>
                <w:lang w:bidi="ar"/>
              </w:rPr>
            </w:pPr>
          </w:p>
        </w:tc>
      </w:tr>
    </w:tbl>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7.2.1 《租金占比表》为租金评估报告中该物业空间各年度租金占10年总租金的比值。</w:t>
      </w:r>
    </w:p>
    <w:p>
      <w:pPr>
        <w:overflowPunct w:val="0"/>
        <w:autoSpaceDE w:val="0"/>
        <w:ind w:firstLine="478" w:firstLineChars="171"/>
        <w:rPr>
          <w:rFonts w:hint="default"/>
          <w:lang w:val="en-US" w:eastAsia="zh-CN"/>
        </w:rPr>
      </w:pPr>
      <w:r>
        <w:rPr>
          <w:rFonts w:hint="eastAsia" w:ascii="仿宋_GB2312" w:hAnsi="仿宋_GB2312" w:eastAsia="仿宋_GB2312" w:cs="仿宋_GB2312"/>
          <w:color w:val="auto"/>
          <w:kern w:val="0"/>
          <w:sz w:val="28"/>
          <w:szCs w:val="28"/>
          <w:highlight w:val="none"/>
          <w:lang w:val="en-US" w:eastAsia="zh-CN"/>
        </w:rPr>
        <w:t>7.2.2 将成交价按照《租金占比表》的比值分摊到对应的租赁年度，计算得到各租赁年度租金如下表。</w:t>
      </w:r>
    </w:p>
    <w:p>
      <w:pPr>
        <w:tabs>
          <w:tab w:val="left" w:pos="900"/>
        </w:tabs>
        <w:spacing w:line="360" w:lineRule="auto"/>
        <w:ind w:right="48" w:rightChars="20" w:firstLine="0" w:firstLineChars="0"/>
        <w:jc w:val="center"/>
        <w:outlineLvl w:val="0"/>
        <w:rPr>
          <w:rFonts w:ascii="仿宋" w:hAnsi="仿宋" w:eastAsia="仿宋" w:cs="仿宋"/>
          <w:color w:val="auto"/>
          <w:kern w:val="0"/>
          <w:highlight w:val="none"/>
          <w:u w:val="single"/>
        </w:rPr>
      </w:pPr>
      <w:r>
        <w:rPr>
          <w:rFonts w:hint="eastAsia" w:ascii="仿宋_GB2312" w:hAnsi="仿宋_GB2312" w:eastAsia="仿宋_GB2312" w:cs="仿宋_GB2312"/>
          <w:b/>
          <w:bCs/>
          <w:color w:val="auto"/>
          <w:kern w:val="2"/>
          <w:sz w:val="28"/>
          <w:szCs w:val="28"/>
          <w:highlight w:val="none"/>
        </w:rPr>
        <w:t>租金汇总表</w:t>
      </w:r>
      <w:r>
        <w:rPr>
          <w:rFonts w:ascii="仿宋" w:hAnsi="仿宋" w:eastAsia="仿宋" w:cs="仿宋"/>
          <w:b/>
          <w:bCs/>
          <w:color w:val="auto"/>
          <w:kern w:val="0"/>
          <w:szCs w:val="28"/>
          <w:highlight w:val="none"/>
        </w:rPr>
        <w:t xml:space="preserve"> </w:t>
      </w:r>
      <w:r>
        <w:rPr>
          <w:rFonts w:hint="eastAsia" w:ascii="仿宋_GB2312" w:hAnsi="仿宋_GB2312" w:eastAsia="仿宋_GB2312" w:cs="仿宋_GB2312"/>
          <w:b w:val="0"/>
          <w:bCs w:val="0"/>
          <w:color w:val="auto"/>
          <w:kern w:val="2"/>
          <w:sz w:val="28"/>
          <w:szCs w:val="28"/>
          <w:highlight w:val="none"/>
          <w:lang w:eastAsia="zh-CN"/>
        </w:rPr>
        <w:t>（</w:t>
      </w:r>
      <w:r>
        <w:rPr>
          <w:rFonts w:hint="eastAsia" w:ascii="仿宋_GB2312" w:hAnsi="仿宋_GB2312" w:eastAsia="仿宋_GB2312" w:cs="仿宋_GB2312"/>
          <w:color w:val="auto"/>
          <w:kern w:val="2"/>
          <w:sz w:val="28"/>
          <w:szCs w:val="28"/>
          <w:highlight w:val="none"/>
          <w:lang w:bidi="ar"/>
        </w:rPr>
        <w:t>单位：万元</w:t>
      </w:r>
      <w:r>
        <w:rPr>
          <w:rFonts w:hint="eastAsia" w:ascii="仿宋_GB2312" w:hAnsi="仿宋_GB2312" w:eastAsia="仿宋_GB2312" w:cs="仿宋_GB2312"/>
          <w:b w:val="0"/>
          <w:bCs w:val="0"/>
          <w:color w:val="auto"/>
          <w:kern w:val="2"/>
          <w:sz w:val="28"/>
          <w:szCs w:val="28"/>
          <w:highlight w:val="none"/>
          <w:lang w:eastAsia="zh-CN"/>
        </w:rPr>
        <w:t>）</w:t>
      </w:r>
      <w:r>
        <w:rPr>
          <w:rFonts w:ascii="仿宋" w:hAnsi="仿宋" w:eastAsia="仿宋" w:cs="仿宋"/>
          <w:b/>
          <w:bCs/>
          <w:color w:val="auto"/>
          <w:kern w:val="0"/>
          <w:szCs w:val="28"/>
          <w:highlight w:val="none"/>
        </w:rPr>
        <w:t xml:space="preserve">             </w:t>
      </w:r>
    </w:p>
    <w:tbl>
      <w:tblPr>
        <w:tblStyle w:val="1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48"/>
        <w:gridCol w:w="699"/>
        <w:gridCol w:w="774"/>
        <w:gridCol w:w="774"/>
        <w:gridCol w:w="774"/>
        <w:gridCol w:w="774"/>
        <w:gridCol w:w="774"/>
        <w:gridCol w:w="774"/>
        <w:gridCol w:w="774"/>
        <w:gridCol w:w="774"/>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7" w:hRule="atLeast"/>
          <w:jc w:val="center"/>
        </w:trPr>
        <w:tc>
          <w:tcPr>
            <w:tcW w:w="498" w:type="pct"/>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项目</w:t>
            </w:r>
          </w:p>
        </w:tc>
        <w:tc>
          <w:tcPr>
            <w:tcW w:w="410"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第一年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第二年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第三年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第四年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第五年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第六年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第七年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第八年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第九年</w:t>
            </w:r>
          </w:p>
        </w:tc>
        <w:tc>
          <w:tcPr>
            <w:tcW w:w="454"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第十年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498"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default" w:ascii="仿宋_GB2312" w:hAnsi="宋体" w:eastAsia="仿宋_GB2312" w:cs="仿宋_GB2312"/>
                <w:i w:val="0"/>
                <w:iCs w:val="0"/>
                <w:color w:val="auto"/>
                <w:kern w:val="0"/>
                <w:sz w:val="16"/>
                <w:szCs w:val="16"/>
                <w:u w:val="none"/>
                <w:lang w:val="en-US" w:eastAsia="zh-CN" w:bidi="ar"/>
              </w:rPr>
              <w:t>年度租金</w:t>
            </w:r>
          </w:p>
        </w:tc>
        <w:tc>
          <w:tcPr>
            <w:tcW w:w="410"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498" w:type="pc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sz w:val="16"/>
                <w:szCs w:val="16"/>
                <w:u w:val="none"/>
              </w:rPr>
            </w:pPr>
            <w:r>
              <w:rPr>
                <w:rFonts w:hint="eastAsia" w:ascii="仿宋_GB2312" w:hAnsi="宋体" w:eastAsia="仿宋_GB2312" w:cs="仿宋_GB2312"/>
                <w:i w:val="0"/>
                <w:iCs w:val="0"/>
                <w:color w:val="auto"/>
                <w:kern w:val="0"/>
                <w:sz w:val="16"/>
                <w:szCs w:val="16"/>
                <w:u w:val="none"/>
                <w:lang w:val="en-US" w:eastAsia="zh-CN" w:bidi="ar"/>
              </w:rPr>
              <w:t>增长率</w:t>
            </w:r>
          </w:p>
        </w:tc>
        <w:tc>
          <w:tcPr>
            <w:tcW w:w="410"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c>
          <w:tcPr>
            <w:tcW w:w="454" w:type="pct"/>
            <w:shd w:val="clear" w:color="auto" w:fill="auto"/>
            <w:vAlign w:val="center"/>
          </w:tcPr>
          <w:p>
            <w:pPr>
              <w:jc w:val="center"/>
              <w:rPr>
                <w:rFonts w:hint="default" w:ascii="仿宋_GB2312" w:hAnsi="宋体" w:eastAsia="仿宋_GB2312" w:cs="仿宋_GB2312"/>
                <w:i w:val="0"/>
                <w:iCs w:val="0"/>
                <w:color w:val="auto"/>
                <w:sz w:val="16"/>
                <w:szCs w:val="16"/>
                <w:u w:val="none"/>
              </w:rPr>
            </w:pPr>
          </w:p>
        </w:tc>
      </w:tr>
    </w:tbl>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注：如因特殊原因导致物业空间租赁期限超过10年的，后续租赁年度租金在上一年度基础上每年递增5%。</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7.3 租金计算及收取方式</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7.3.1 租金采取预收方式，每年收取一次。</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7.3.2 第一</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租金的收取：乙方须在租赁合同生效后20个工作日内缴纳第一</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租金。</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7.3.3 第二</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及后续租金的收取：乙方须在该物业空间的下一计租期开始时前20个工作日内将下一期租金转账至甲方指定账户。</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7.3.4 租金的计算方式：</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每一期应收租金为该物业空间对应的各租赁年度的租金。</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7.3.5 甲方收取租金的账号信息为：</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单位名称：</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开户行：</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账号：</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第八条 发票及税费</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8.1 甲方在收到乙方缴纳的租金后向乙方开具合法等额的增值税发票。</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8.2 甲乙双方按照本合同执行时相关法律法规承担各自税费。</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第九条 水电</w:t>
      </w:r>
      <w:r>
        <w:rPr>
          <w:rFonts w:hint="eastAsia" w:ascii="黑体" w:hAnsi="黑体" w:eastAsia="黑体" w:cs="仿宋_GB2312"/>
          <w:b/>
          <w:color w:val="auto"/>
          <w:kern w:val="0"/>
          <w:sz w:val="28"/>
          <w:szCs w:val="28"/>
          <w:highlight w:val="none"/>
          <w:lang w:val="en-US" w:eastAsia="zh-CN"/>
        </w:rPr>
        <w:t>费</w:t>
      </w:r>
      <w:r>
        <w:rPr>
          <w:rFonts w:hint="eastAsia" w:ascii="黑体" w:hAnsi="黑体" w:eastAsia="黑体" w:cs="仿宋_GB2312"/>
          <w:b/>
          <w:color w:val="auto"/>
          <w:kern w:val="0"/>
          <w:sz w:val="28"/>
          <w:szCs w:val="28"/>
          <w:highlight w:val="none"/>
        </w:rPr>
        <w:t>及其他费用</w:t>
      </w:r>
    </w:p>
    <w:p>
      <w:pPr>
        <w:overflowPunct w:val="0"/>
        <w:autoSpaceDE w:val="0"/>
        <w:ind w:firstLine="478" w:firstLineChars="171"/>
        <w:rPr>
          <w:rFonts w:hint="eastAsia" w:ascii="仿宋_GB2312" w:hAnsi="仿宋_GB2312" w:eastAsia="仿宋_GB2312" w:cs="仿宋_GB2312"/>
          <w:color w:val="auto"/>
          <w:kern w:val="0"/>
          <w:sz w:val="28"/>
          <w:szCs w:val="28"/>
          <w:highlight w:val="yellow"/>
          <w:lang w:val="en-US" w:eastAsia="zh-CN"/>
        </w:rPr>
      </w:pPr>
      <w:r>
        <w:rPr>
          <w:rFonts w:hint="eastAsia" w:ascii="仿宋_GB2312" w:hAnsi="仿宋_GB2312" w:eastAsia="仿宋_GB2312" w:cs="仿宋_GB2312"/>
          <w:color w:val="auto"/>
          <w:kern w:val="0"/>
          <w:sz w:val="28"/>
          <w:szCs w:val="28"/>
          <w:highlight w:val="none"/>
          <w:lang w:val="en-US" w:eastAsia="zh-CN"/>
        </w:rPr>
        <w:t>9.1 自交付之日起，物业空间（包括租赁范围及其相关管理范围）所产生的水电费由乙方承担。水电费由甲方指定水电管理单位贵阳市城市轨道交通运营有限公司（以下简称“管理单位”）履行代收代缴职责，乙方应当在进场前按照水电费管理单位要求与其签订水电费收取协议，并向管理单位以现金或转账的方式缴纳水电费保证金后（由管理单位按照前期同类项目水电费使用情况进行测算，保证金金额不少于三个月的水电费预测总额），管理单位向乙方提供经营用水用电。</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9.2 乙方进场后7个工作日内必须与甲方或甲方指定的管理单位签订水电费收缴合同，否则产生的一切后果由乙方自行承担。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9.3 进场后用电接驳施工及相应计量仪表的采购、安装费用由乙方自行承担。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9.4 乙方可自行开展水电报装。</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第十条 业态规划</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10.1 乙方不得经营国家法律法规禁止的或影响轨道交通建设、运营的业态，且不得经营与使用明火相关的业态。</w:t>
      </w:r>
    </w:p>
    <w:p>
      <w:pPr>
        <w:overflowPunct w:val="0"/>
        <w:autoSpaceDE w:val="0"/>
        <w:ind w:firstLine="478" w:firstLineChars="171"/>
        <w:rPr>
          <w:rFonts w:hint="eastAsia" w:ascii="仿宋_GB2312" w:hAnsi="仿宋_GB2312" w:eastAsia="仿宋_GB2312" w:cs="仿宋_GB2312"/>
          <w:color w:val="FF0000"/>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10.2 乙方业态规划应满足消防相关规范要求并自行办理物业空间消防手续。如因乙方业态规划导致物业空间部分面积不能使用的，乙方不得因此向甲方提出调减租金的要求。</w:t>
      </w:r>
    </w:p>
    <w:p>
      <w:pPr>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第十一条 装修管理</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11.1 乙方开展内部装修不得改变标的物的结构，不得对轨道交通运营造成妨碍或损害，业态规划方案、装修方案须经甲方同意、并完善相关地铁保护手续办理后方可实施，装修的报建、竣工验收、消防验收手续由乙方自行办理，装修费用、办理相关手续的费用由乙方自行承担，并确保装修施工行为满足国家、地方相关法律法规和甲方颁布的相关制度要求。</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11.2 按规定须由消防、住建、规划、环保、生态、城市管理等有关部门审批的，则由乙方自行完善审批手续；若乙方未完善相关审批手续擅自进行装修，因此产生的一切责任由乙方承担。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11.3 乙方须将报批后的相关施工和设计文件送达甲方备案。乙方的装修施工须按批准的装修方案进行，并确保装修施工符合安全及环保要求。</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11.4 在装修过程中，乙方和乙方委托的施工单位损坏物业空间外立面、附属设施和相邻部位的，甲方有权要求乙方恢复原状。</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11.5 乙方应采取措施确保装修施工期的安全，如在物业空间装修过程中发生安全事故的，由乙方负责承担全部法律责任，并承担因施工所导致的一切人身损害或财产损失赔偿责任。</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第十二条 物业管理</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12.1 自交付之日起，物业空间的物业管理责任由乙方自行承担。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12.2 物业空间设施及设备维护、维修、更换</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12.2.1 自物业空间交付给乙方之日起，乙方应负责物业空间设施设备（含甲方配置）的维护保养工作及承担相应的费用，保证处于正常的可使用和安全的状态。</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12.2.2 由甲方投资建设完成交付给乙方使用的结构和设施设备，在维保合同约定或国家规定的质保范围以外的维修、维护、大修、设备更换等工作及费用由乙方承担。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12.2.3 如因乙方维护区域的设备设施故障，而引起甲方负责管理的维护区域设备故障的，甲方有权进入乙方负责维护的区域进行相关设施设备维修保养。甲方进入前应事先告知乙方，尽量避免对乙方经营造成影响。</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12.3 乙方增设的临时可移动的设施设备的所有权归属乙方，由乙方负责维修和保养。租赁期满，乙方拆除其增设的设施设备时，不得损坏物业空间的主体结构和原有重要设施设备。</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12.4 在物业空间毗邻区域，遇到意外及突发事件时（例如火灾、水淹、水管爆裂、电线短路等），甲方和乙方应积极配合施救，在区分责任后由责任方承担责任和赔偿直接经济损失。</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12.5 甲方需要通过乙方物业管理区域进行日常巡查、保养维护或紧急抢修等作业，乙方须无条件配合。</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第十三条 安全制度</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13.1 乙方必须按照国家、省、市法律法规和有关行政管理部门及甲方相关规定，建立和完善安全责任制度，建立安全生产保证体系，保障物业空间安全、稳定的运营和服务，防止责任事故发生；所有设施及工作均不得对运营服务造成影响。</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13.2 从交付日起，乙方是物业空间的安全责任人，应确保物业空间符合地下公共交通空间的运营安全需要，采取必要措施，防止安全事故的发生。当乙方的行为有可能影响轨道运营安全或正常管理秩序的，甲方有权要求乙方限时整改，乙方应当服从甲方的合理要求。使用物业空间期间所发生的安全事故责任由乙方自行承担，因甲方原因引起的除外。发生安全事故时，乙方须立即向甲方及区域安全生产行政管理部门及时汇报事故情况，并积极采取抢救措施防止事故的恶化，尽最大限度减少相关损失。</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13.3 乙方要加强商业设施的安全检查，及时消除安全隐患。</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13.4 如乙方发现任何危害经营线路安全运营的任何行为和隐患，或发生影响物业空间运营、安全、质量的重大事项，乙方应及时向甲方进行报告。</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13.5 乙方应为雇员、代表或第三方提供安全培训，包括参加甲方组织的经营线路安全培训课程，甲方有权按该课程的培训成本向乙方收取适当费用；乙方必须按相关规定及甲方要求制定人员疏散、应急的演练预案，并报甲方备案。</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13.6 乙方在物业空间所有规划、装修、经营、改造等活动必须符合消防安全相关法律、法规及甲方的要求，按规定取得甲方或相关政府行政管理部门的审批后方可实施。</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13.7 政府行政管理部门在巡查过程中发现物业空间存在安全隐患必须整改的，乙方必须立即按照其要求进行整改，直至符合规范要求。如政府部门对此进行处罚的，由乙方承担责任。如甲方因此受到政府部门的处罚，有权向乙方追偿并追究其违约责任。</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13.8 甲方有权对物业空间进行安全巡查，如发现乙方未严格遵守国家、地方相关法律法规和甲方颁布的相关制度的的，甲方有权发出《整改通知书》，乙方必须在限期内完成整改，达到安全规范要求。</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13.9 安全责任的承担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本合同项下因乙方引发的一切安全责任事故后果由乙方承担。</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第十四条 保险</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14.1 在本合同有效期内，乙方须按照国家法律法规要求为物业空间经营购买相关强制险种。</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 xml:space="preserve">第十五条 </w:t>
      </w:r>
      <w:r>
        <w:rPr>
          <w:rFonts w:hint="eastAsia" w:ascii="黑体" w:hAnsi="黑体" w:eastAsia="黑体" w:cs="仿宋_GB2312"/>
          <w:b/>
          <w:color w:val="auto"/>
          <w:kern w:val="0"/>
          <w:sz w:val="28"/>
          <w:szCs w:val="28"/>
          <w:highlight w:val="none"/>
          <w:lang w:eastAsia="zh-CN"/>
        </w:rPr>
        <w:t>甲方</w:t>
      </w:r>
      <w:r>
        <w:rPr>
          <w:rFonts w:hint="eastAsia" w:ascii="黑体" w:hAnsi="黑体" w:eastAsia="黑体" w:cs="仿宋_GB2312"/>
          <w:b/>
          <w:color w:val="auto"/>
          <w:kern w:val="0"/>
          <w:sz w:val="28"/>
          <w:szCs w:val="28"/>
          <w:highlight w:val="none"/>
        </w:rPr>
        <w:t>的权利和义务</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15.1 依约将物业空间交乙方使用。</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15.2 有权按本合同约定收取租金及其他费用。</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15.3 甲方有义务配合乙方办理相关行政审批手续。</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15.4 甲方有权对乙方现场安全生产经营行为进行监督、指导、检查，并要求乙方对存在的安全隐患开展积极高效的整改。</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15.5 在租赁期限期满前六个月内，甲方有权进行重新招租的各项准备工作，包括向意向乙方展示物业空间，乙方应予以配合。</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 xml:space="preserve">第十六条 </w:t>
      </w:r>
      <w:r>
        <w:rPr>
          <w:rFonts w:hint="eastAsia" w:ascii="黑体" w:hAnsi="黑体" w:eastAsia="黑体" w:cs="仿宋_GB2312"/>
          <w:b/>
          <w:color w:val="auto"/>
          <w:kern w:val="0"/>
          <w:sz w:val="28"/>
          <w:szCs w:val="28"/>
          <w:highlight w:val="none"/>
          <w:lang w:eastAsia="zh-CN"/>
        </w:rPr>
        <w:t>乙方</w:t>
      </w:r>
      <w:r>
        <w:rPr>
          <w:rFonts w:hint="eastAsia" w:ascii="黑体" w:hAnsi="黑体" w:eastAsia="黑体" w:cs="仿宋_GB2312"/>
          <w:b/>
          <w:color w:val="auto"/>
          <w:kern w:val="0"/>
          <w:sz w:val="28"/>
          <w:szCs w:val="28"/>
          <w:highlight w:val="none"/>
        </w:rPr>
        <w:t>的权利和义务</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 乙方有权在租赁期间按照合同约定的用途合法使用物业空间，自主经营、自负盈亏，乙方的合法经营行为不受甲方的干预。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 xml:space="preserve">16.2 乙方应在正式经营前应组建完善的、具备专业知识和管理经验的项目管理部开展本项目经营管理活动，并将组织机构、各专业/部门负责人情况书面向甲方备案。 </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16.3 物业空间的经营管理须严格遵守国家、地方相关法律法规和甲方颁布的相关制度要求，并与相关单位签订安全协议、安全责任书、联合运营协议等。</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16.4 乙方负责出租标的（包含计租范围、出入口通道、</w:t>
      </w:r>
      <w:r>
        <w:rPr>
          <w:rFonts w:hint="eastAsia" w:ascii="仿宋_GB2312" w:hAnsi="仿宋_GB2312" w:eastAsia="仿宋_GB2312" w:cs="仿宋_GB2312"/>
          <w:b w:val="0"/>
          <w:bCs/>
          <w:sz w:val="28"/>
          <w:szCs w:val="28"/>
          <w:lang w:val="en-US" w:eastAsia="zh-CN"/>
        </w:rPr>
        <w:t>用于消防疏散的下沉式广场及门前三包管理范围</w:t>
      </w:r>
      <w:r>
        <w:rPr>
          <w:rFonts w:hint="eastAsia" w:ascii="仿宋_GB2312" w:hAnsi="仿宋_GB2312" w:eastAsia="仿宋_GB2312" w:cs="仿宋_GB2312"/>
          <w:color w:val="auto"/>
          <w:kern w:val="0"/>
          <w:sz w:val="28"/>
          <w:szCs w:val="28"/>
          <w:highlight w:val="none"/>
          <w:lang w:val="en-US" w:eastAsia="zh-CN"/>
        </w:rPr>
        <w:t>）的既有工程改造、后续工程建设、装饰装修、设备设施安装及运营、维护管理，并承担相关费用和风险。</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16.5 自物业空间交付给乙方之日起，由乙方全权负责物业空间的所有管理工作，包括但不限于根据相关政府部门或规范要求配置功能用房、专业设施设备、管理人员等以满足现场安全生产、消防、反恐、卫生防疫等所需的物防技防人防要求。</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16.6 乙方应按相关行政审批部门要求完善出租标的市政过街功能，并由乙方承担相关管理责任和费用</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16.7 乙方须完成物业空间相关项验收和行政审批手续办理后方可投入经营，否则，因此产生的一切后果由乙方自行承担。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16.8 如物业空间交付后但未开展经营活动，乙方应按政府或轨道交通经营单位要求对其进行围蔽，并确保围挡整洁完整；必要时，乙方还应根据规划或相关政府部门要求，确保物业空间的过街功能得以实现。</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16.9 乙方对物业空间商铺或其他使用功能区域的规划或设计，应优先确保轨道交通与周边项目已规划的接口或接驳功能得以实现。</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16.10 乙方应制定商业资源日常维护的技术标准及规范，按照该技术标准及规范负责做好商业资源的维护、维修工作，确保商业资源处于良好的状态。</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16.11 乙方在引进入驻商户时签订的商业合同期限不得超过乙方与甲方签订的租赁期限。</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16.12 乙方在开业前须按照相关法律法规要求完善相关行政许可，并将相关批复报甲方备案。若乙方未完善相关行政许可擅自开业的，因此产生的一切责任由乙方承担。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16.13 乙方不得将出租标的或以出租标的名义开展担保、抵押等融资活动。</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16.14 乙方在出租标的内开展广告资源设置活动应满足相关法律法规和甲方相关管理制度要求，并对发布广告的内容负责。</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16.15 乙方应委托具有相应资质机构负责实施出租标的的装修工作；出租标的露出地面结构装修风格原则上应与主业协调一致或满足规划许可，同时做好与市政管线、道路、绿化等的接驳工作。</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16.16 乙方铺位的招牌、告示、标志牌等的设置应符合《中华人民共和国国家通用语言文字法》及其他相关法规、规章的规定。招牌、告示、标志牌等需要使用外国语言文字的，应当用规范汉字标注。</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16.17 乙方应按照有关规定负责出租标的及“门前三包”范围内的环境卫生、市容秩序的管理工作。</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16.18 乙方现场经营活动应满足相关法律法规要求，悬挂营业执照、卫生许可证、健康证等，做到亮证经营，明码标价。</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16.19 出租标的交付给乙方之日起，现场发生的所有纠纷、投诉均由乙方负责并妥善处理，如因乙方未能妥善处理或不处理，甲方有权代为处理，因此所产生的费用和给甲方造成的损失由乙方承担。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16.20 当乙方出现下列事项应及时告知甲方:</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16.20.1 乙方（含项目管理部）总经理、副总经理、财务总监等高级管理人员确定或发生人员变更。</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16.20.2 乙方的股东或股权结构发生重大变化。</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16.20.3 乙方签署可能对物业空间经营有重大影响的合同或意向书。</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16.20.4 其他对物业空间经营有重大影响的事项。</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第十七条</w:t>
      </w:r>
      <w:r>
        <w:rPr>
          <w:rFonts w:ascii="黑体" w:hAnsi="黑体" w:eastAsia="黑体" w:cs="仿宋_GB2312"/>
          <w:b/>
          <w:color w:val="auto"/>
          <w:kern w:val="0"/>
          <w:sz w:val="28"/>
          <w:szCs w:val="28"/>
          <w:highlight w:val="none"/>
        </w:rPr>
        <w:t xml:space="preserve"> </w:t>
      </w:r>
      <w:r>
        <w:rPr>
          <w:rFonts w:hint="eastAsia" w:ascii="黑体" w:hAnsi="黑体" w:eastAsia="黑体" w:cs="仿宋_GB2312"/>
          <w:b/>
          <w:color w:val="auto"/>
          <w:kern w:val="0"/>
          <w:sz w:val="28"/>
          <w:szCs w:val="28"/>
          <w:highlight w:val="none"/>
        </w:rPr>
        <w:t>违约责任</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17.1 除获得甲方书面许可外，乙方逾期缴纳本合同项下租金及各项其他费用，甲方有权从履约保证金中扣除与所欠费用相应金额。履约保证金扣除按本合同6.4条相关内容执行。</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 出现下列情形之一，甲方有权单方解除合同，不承担任何违约、赔偿责任且不返还乙方的履约保证金，并享有追究乙方承担相应经济损失的权利：</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 xml:space="preserve">17.2.1 合同尚未到期，乙方单方解除或提前终止合同的。 </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17.2.2 乙方因严重违反国家有关法律、法规、政策，而被国家行政机关查封或关闭。</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17.2.3 乙方在商业经营过程中，未经甲方同意超出合同约定开展商业经营活动造成严重不良影响的。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17.2.4 现场存在严重安全隐患且长期不按照甲方要求及时高效整改的。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17.2.5 乙方的生产经营行为给轨道交通运营、维保、抢险等工作造成严重妨碍且不积极配合的。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17.2.6 在签署和履行本合同过程中隐瞒可能影响本合同履行的任何信息，向甲方提供虚假的资料或信息被查实的。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17.2.7 乙方擅自改变车站承重和主体结构，造成较大安全隐患而未采取及时有效的处理措施的。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17.2.8 乙方在租赁期间严重违反租赁合同条款造成租赁合同主要目的无法实现的。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17.2.9 经查实，乙方将出租标的进行转租或用于担保、抵押等融资活动的。</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17.3 不中断合同履行</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除非本合同终止，针对本合同的任何违约责任的追究及责任承担，均不影响本合同之继续履行。</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第十八条 免责条款</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18.1 如果一方在履行本合同时直接受到某一不可抗力事件的影响、延迟或阻碍，该方应在不可抗力事件发生后的十天内通知另一方并提供有关的详细信息。</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18.2 对不可抗力事件造成的未履行或延迟履行义务，任何一方均不承担责任。受不可抗力事件影响的一方须采取适当措施以减少或消除不可抗力的影响，并尽快恢复履行受不可抗力事件影响的义务。</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18.3 因不可抗力导致出租标的不能使用或合同目的不能实现的，本合同可以解除，终止租赁。</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第十九条 合同的变更、解除与终止</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19.1 本合同的变更、补充，须经双方协商一致后，签署书面补充协议，方能生效。</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19.2 租赁期满终止</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租赁期限届满，乙方将物业空间按照返还条款约定移交给甲方并退还履约保证金后，双方正常解除合同，不再另行签订解除协议。</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19.3 提前终止</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19.3.1 乙方因自身原因提前终止合同的，须提前至少60日书面征得甲方同意，双方协商一致并按照返还条款的约定将物业空间移交给甲方后，履约保证金不予以退还，乙方缴纳的剩余未使用租金在扣除相关费用（包括但不限于水电费、拆除、清理或修复产生的费用等）后将予以退还；履约保证金和未使用租金不足以抵扣相关费用时，甲方有权向乙方进行追偿。</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19.3.2 甲方因自身的原因需提前终止租赁合同的，甲方向乙方发出书面通知，通知载明之日即为合同终止日。甲方将未使用的租金和履约保证金予以无息退还。乙方应积极高效配合甲方完成清撤场任务，因此给乙方产生的损失由双方另行协商处理。</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19.3.3 因不可抗力因素导致出租标的不能使用或合同目的不能实现的，甲乙双方均有权提出解除租赁合同，双方达成一致意见后可友好解除合同，除不退还已使用的租金外，双方互不承担违约责任。</w:t>
      </w:r>
    </w:p>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第二十条 返还</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bookmarkStart w:id="49" w:name="_Toc483398277"/>
      <w:bookmarkStart w:id="50" w:name="_Toc484608533"/>
      <w:bookmarkStart w:id="51" w:name="_Toc484419297"/>
      <w:bookmarkStart w:id="52" w:name="_Toc484188036"/>
      <w:bookmarkStart w:id="53" w:name="_Toc409531012"/>
      <w:bookmarkStart w:id="54" w:name="_Toc484520572"/>
      <w:r>
        <w:rPr>
          <w:rFonts w:hint="eastAsia" w:ascii="仿宋_GB2312" w:hAnsi="仿宋_GB2312" w:eastAsia="仿宋_GB2312" w:cs="仿宋_GB2312"/>
          <w:color w:val="auto"/>
          <w:kern w:val="0"/>
          <w:sz w:val="28"/>
          <w:szCs w:val="28"/>
          <w:highlight w:val="none"/>
          <w:lang w:val="en-US" w:eastAsia="zh-CN"/>
        </w:rPr>
        <w:t>20.1 租赁合同正常履行的，租赁期最后一日为退场之日；租赁合同由双方协商一致解除的，退场之日以双方约定为准；单方解除租赁合同的，退场之日以租赁合同约定的相关退场文件载明的日期为准。</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20.2 乙方须在双方约定的退场之日前完成物业空间内由乙方实施的设施设备拆除和垃圾清理，不便拆除且甲方愿意接收的设施设备经双方协商一致后可保留；乙方须对其使用损坏的、由甲方实施的结构和设施设备按照不低于原标准修复后方可返还给甲方。</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20.3 截止退场之日，若乙方未完成的拆除、清理或修复工作，由甲方自行组织完成且不对权属于乙方的相关设施设备有任何保存、维护义务，相关处理费由乙方承担。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20.4 按约定完成退场的，承出租双方对现场设施设备进行共同检查、对水电表度数进行确认后双方签订移交表、完善书面移交手续；乙方未按合同约定、撤场通知、或其他约定完成退场的，甲方有权对现场结构、设施设备、水电表度数进行拍照取证后自行开展清场工作，且不对权属于乙方的相关设施设备有任何保存、维护义务，相关处理费用由乙方承担。</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20.5 除乙方因自身原因提前终止合同的，完成清场后，甲方在扣除应收租金、应缴费用和现场清场及修复费用后15个工作日内，将未用完的租金和履约保证金无息按照原支付路径或双方约定方式退还给乙方。履约保证金和未使用租金不够抵扣的，甲方保留对乙方的追偿权利。</w:t>
      </w:r>
    </w:p>
    <w:bookmarkEnd w:id="49"/>
    <w:bookmarkEnd w:id="50"/>
    <w:bookmarkEnd w:id="51"/>
    <w:bookmarkEnd w:id="52"/>
    <w:bookmarkEnd w:id="53"/>
    <w:bookmarkEnd w:id="54"/>
    <w:p>
      <w:pPr>
        <w:overflowPunct w:val="0"/>
        <w:autoSpaceDE w:val="0"/>
        <w:ind w:firstLine="562" w:firstLineChars="200"/>
        <w:rPr>
          <w:rFonts w:ascii="黑体" w:hAnsi="黑体" w:eastAsia="黑体" w:cs="仿宋_GB2312"/>
          <w:b/>
          <w:color w:val="auto"/>
          <w:kern w:val="0"/>
          <w:sz w:val="28"/>
          <w:szCs w:val="28"/>
          <w:highlight w:val="none"/>
        </w:rPr>
      </w:pPr>
      <w:r>
        <w:rPr>
          <w:rFonts w:hint="eastAsia" w:ascii="黑体" w:hAnsi="黑体" w:eastAsia="黑体" w:cs="仿宋_GB2312"/>
          <w:b/>
          <w:color w:val="auto"/>
          <w:kern w:val="0"/>
          <w:sz w:val="28"/>
          <w:szCs w:val="28"/>
          <w:highlight w:val="none"/>
        </w:rPr>
        <w:t>第二十一条 其他</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21.1 保密：任何一方或其代理人获得的所有资料和文件（不论是财务、技术或其他方面），如果尚未公布或公开的，未经另一方事先书面同意均不得向第三人透露或公开，各方应保证其代理人不泄露本合同或本合同取代的任何合同的任何条款，不泄露在谈判过程中获取的另一方的保密资料。</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21.1.1 但是以下情况除外：</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（1）按照适用法律，或政府部门、司法机关的要求，或为审计或财务报表中的披露目的而进行披露的信息。</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（2）本合同项下明确允许的披露。</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21.1.2 本合同任何一方违反本合同约定的保密义</w:t>
      </w:r>
      <w:bookmarkStart w:id="55" w:name="_Toc409531017"/>
      <w:bookmarkStart w:id="56" w:name="_Toc484608538"/>
      <w:r>
        <w:rPr>
          <w:rFonts w:hint="eastAsia" w:ascii="仿宋_GB2312" w:hAnsi="仿宋_GB2312" w:eastAsia="仿宋_GB2312" w:cs="仿宋_GB2312"/>
          <w:color w:val="auto"/>
          <w:kern w:val="0"/>
          <w:sz w:val="28"/>
          <w:szCs w:val="28"/>
          <w:highlight w:val="none"/>
          <w:lang w:val="en-US" w:eastAsia="zh-CN"/>
        </w:rPr>
        <w:t>务的，均须负违约责任，如造成另一方损失的还需向对方承担损害赔偿责任。</w:t>
      </w:r>
    </w:p>
    <w:bookmarkEnd w:id="55"/>
    <w:bookmarkEnd w:id="56"/>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21.2 争议解决：凡因本合同引起或与本合同有关的争议，首先由双方友好协商解决，如协商不成，任何一方可向甲方所在地的人民法院提起诉讼。</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21.3 文件送达方式</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21.3.1 双方往来文件可采用直接送达和邮寄送达方式，均视为有效，</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21.3.2 直接送达如拒绝签收的，送出方将文件张贴在约定送达地址显眼位置出并拍照留存，视为在张贴之日送达。</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21.3.3 邮寄送达如无人签收或拒绝签收的，以邮件物流信息显示的达到约定地址之日视为送达。</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 xml:space="preserve">21.3.4 </w:t>
      </w:r>
      <w:r>
        <w:rPr>
          <w:rFonts w:hint="default" w:ascii="仿宋_GB2312" w:hAnsi="仿宋_GB2312" w:eastAsia="仿宋_GB2312" w:cs="仿宋_GB2312"/>
          <w:color w:val="auto"/>
          <w:kern w:val="0"/>
          <w:sz w:val="28"/>
          <w:szCs w:val="28"/>
          <w:highlight w:val="none"/>
          <w:lang w:val="en-US" w:eastAsia="zh-CN"/>
        </w:rPr>
        <w:t>直接送达</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（1）甲方</w:t>
      </w:r>
      <w:r>
        <w:rPr>
          <w:rFonts w:hint="default" w:ascii="仿宋_GB2312" w:hAnsi="仿宋_GB2312" w:eastAsia="仿宋_GB2312" w:cs="仿宋_GB2312"/>
          <w:color w:val="auto"/>
          <w:kern w:val="0"/>
          <w:sz w:val="28"/>
          <w:szCs w:val="28"/>
          <w:highlight w:val="none"/>
          <w:lang w:val="en-US" w:eastAsia="zh-CN"/>
        </w:rPr>
        <w:t>地址：</w:t>
      </w:r>
      <w:r>
        <w:rPr>
          <w:rFonts w:hint="eastAsia" w:ascii="仿宋_GB2312" w:hAnsi="仿宋_GB2312" w:eastAsia="仿宋_GB2312" w:cs="仿宋_GB2312"/>
          <w:color w:val="auto"/>
          <w:kern w:val="0"/>
          <w:sz w:val="28"/>
          <w:szCs w:val="28"/>
          <w:highlight w:val="none"/>
          <w:lang w:val="en-US" w:eastAsia="zh-CN"/>
        </w:rPr>
        <w:tab/>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联系人：</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联系方式：</w:t>
      </w:r>
      <w:r>
        <w:rPr>
          <w:rFonts w:hint="default" w:ascii="仿宋_GB2312" w:hAnsi="仿宋_GB2312" w:eastAsia="仿宋_GB2312" w:cs="仿宋_GB2312"/>
          <w:color w:val="auto"/>
          <w:kern w:val="0"/>
          <w:sz w:val="28"/>
          <w:szCs w:val="28"/>
          <w:highlight w:val="none"/>
          <w:lang w:val="en-US" w:eastAsia="zh-CN"/>
        </w:rPr>
        <w:t xml:space="preserve">                      </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（2）乙方</w:t>
      </w:r>
      <w:r>
        <w:rPr>
          <w:rFonts w:hint="default" w:ascii="仿宋_GB2312" w:hAnsi="仿宋_GB2312" w:eastAsia="仿宋_GB2312" w:cs="仿宋_GB2312"/>
          <w:color w:val="auto"/>
          <w:kern w:val="0"/>
          <w:sz w:val="28"/>
          <w:szCs w:val="28"/>
          <w:highlight w:val="none"/>
          <w:lang w:val="en-US" w:eastAsia="zh-CN"/>
        </w:rPr>
        <w:t>地址：</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联系人：</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联系方式：</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（3）如拒绝签收的，将文件张贴在约定送达地址显眼位置出并拍照留存，视为送达。</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 xml:space="preserve">21.3.5 </w:t>
      </w:r>
      <w:r>
        <w:rPr>
          <w:rFonts w:hint="default" w:ascii="仿宋_GB2312" w:hAnsi="仿宋_GB2312" w:eastAsia="仿宋_GB2312" w:cs="仿宋_GB2312"/>
          <w:color w:val="auto"/>
          <w:kern w:val="0"/>
          <w:sz w:val="28"/>
          <w:szCs w:val="28"/>
          <w:highlight w:val="none"/>
          <w:lang w:val="en-US" w:eastAsia="zh-CN"/>
        </w:rPr>
        <w:t>邮寄送达</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（1）甲方</w:t>
      </w:r>
      <w:r>
        <w:rPr>
          <w:rFonts w:hint="default" w:ascii="仿宋_GB2312" w:hAnsi="仿宋_GB2312" w:eastAsia="仿宋_GB2312" w:cs="仿宋_GB2312"/>
          <w:color w:val="auto"/>
          <w:kern w:val="0"/>
          <w:sz w:val="28"/>
          <w:szCs w:val="28"/>
          <w:highlight w:val="none"/>
          <w:lang w:val="en-US" w:eastAsia="zh-CN"/>
        </w:rPr>
        <w:t>地址：</w:t>
      </w:r>
      <w:r>
        <w:rPr>
          <w:rFonts w:hint="eastAsia" w:ascii="仿宋_GB2312" w:hAnsi="仿宋_GB2312" w:eastAsia="仿宋_GB2312" w:cs="仿宋_GB2312"/>
          <w:color w:val="auto"/>
          <w:kern w:val="0"/>
          <w:sz w:val="28"/>
          <w:szCs w:val="28"/>
          <w:highlight w:val="none"/>
          <w:lang w:val="en-US" w:eastAsia="zh-CN"/>
        </w:rPr>
        <w:tab/>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联系人：</w:t>
      </w:r>
    </w:p>
    <w:p>
      <w:pPr>
        <w:overflowPunct w:val="0"/>
        <w:autoSpaceDE w:val="0"/>
        <w:ind w:firstLine="478" w:firstLineChars="171"/>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联系方式：</w:t>
      </w:r>
      <w:r>
        <w:rPr>
          <w:rFonts w:hint="default" w:ascii="仿宋_GB2312" w:hAnsi="仿宋_GB2312" w:eastAsia="仿宋_GB2312" w:cs="仿宋_GB2312"/>
          <w:color w:val="auto"/>
          <w:kern w:val="0"/>
          <w:sz w:val="28"/>
          <w:szCs w:val="28"/>
          <w:highlight w:val="none"/>
          <w:lang w:val="en-US" w:eastAsia="zh-CN"/>
        </w:rPr>
        <w:t xml:space="preserve">                      </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（2）乙方</w:t>
      </w:r>
      <w:r>
        <w:rPr>
          <w:rFonts w:hint="default" w:ascii="仿宋_GB2312" w:hAnsi="仿宋_GB2312" w:eastAsia="仿宋_GB2312" w:cs="仿宋_GB2312"/>
          <w:color w:val="auto"/>
          <w:kern w:val="0"/>
          <w:sz w:val="28"/>
          <w:szCs w:val="28"/>
          <w:highlight w:val="none"/>
          <w:lang w:val="en-US" w:eastAsia="zh-CN"/>
        </w:rPr>
        <w:t>地址：</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联系人：</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联系方式：</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（3）如无人签收或拒绝签收的，以邮件物流信息显示的达到约定地址之日视为送达。</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21.4 本合同未尽事项，由双方协商解决，并签订补充协议进一步明确各方的权利义务。</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21.5 本合同自双方签字盖章之日起生效。本合同一式</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份，其中正本</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份，副本</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份，正副本具有同等效力，甲方</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正</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副，乙方</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正</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副。</w:t>
      </w:r>
    </w:p>
    <w:p>
      <w:pPr>
        <w:overflowPunct w:val="0"/>
        <w:autoSpaceDE w:val="0"/>
        <w:ind w:firstLine="478" w:firstLineChars="171"/>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21.6 本合同附件是本合同不可分割的组成部分，与本合同具有同等效力。自本合同生效之日起，双方之前就出租标的租赁提交的书面承诺与本合同不一致或相冲突之处，以本合同约定为准。</w:t>
      </w:r>
    </w:p>
    <w:p>
      <w:pPr>
        <w:overflowPunct w:val="0"/>
        <w:autoSpaceDE w:val="0"/>
        <w:ind w:firstLine="560" w:firstLineChars="200"/>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附件：</w:t>
      </w:r>
    </w:p>
    <w:p>
      <w:pPr>
        <w:overflowPunct w:val="0"/>
        <w:autoSpaceDE w:val="0"/>
        <w:ind w:firstLine="560" w:firstLineChars="200"/>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1.贵阳轨道交通1号线工程车站物业空间设置情况及预留措施统计表</w:t>
      </w:r>
    </w:p>
    <w:p>
      <w:pPr>
        <w:overflowPunct w:val="0"/>
        <w:autoSpaceDE w:val="0"/>
        <w:ind w:firstLine="560" w:firstLineChars="200"/>
        <w:rPr>
          <w:rFonts w:asciiTheme="majorEastAsia" w:hAnsiTheme="majorEastAsia" w:eastAsiaTheme="majorEastAsia"/>
          <w:b/>
          <w:sz w:val="44"/>
          <w:szCs w:val="44"/>
        </w:rPr>
      </w:pPr>
      <w:r>
        <w:rPr>
          <w:rFonts w:hint="eastAsia" w:ascii="仿宋_GB2312" w:hAnsi="仿宋_GB2312" w:eastAsia="仿宋_GB2312" w:cs="仿宋_GB2312"/>
          <w:color w:val="auto"/>
          <w:kern w:val="0"/>
          <w:sz w:val="28"/>
          <w:szCs w:val="28"/>
          <w:highlight w:val="none"/>
          <w:lang w:val="en-US" w:eastAsia="zh-CN"/>
        </w:rPr>
        <w:t>2.贵阳轨道交通1号线物业空间安全管理协议</w:t>
      </w:r>
    </w:p>
    <w:p>
      <w:pPr>
        <w:overflowPunct w:val="0"/>
        <w:autoSpaceDE w:val="0"/>
        <w:ind w:firstLine="560" w:firstLineChars="200"/>
        <w:rPr>
          <w:rFonts w:hint="default" w:ascii="仿宋_GB2312" w:hAnsi="仿宋_GB2312" w:eastAsia="仿宋_GB2312" w:cs="仿宋_GB2312"/>
          <w:color w:val="auto"/>
          <w:kern w:val="0"/>
          <w:sz w:val="28"/>
          <w:szCs w:val="28"/>
          <w:highlight w:val="none"/>
          <w:lang w:val="en-US" w:eastAsia="zh-CN"/>
        </w:rPr>
      </w:pPr>
    </w:p>
    <w:p>
      <w:pPr>
        <w:pStyle w:val="2"/>
        <w:rPr>
          <w:rFonts w:ascii="仿宋" w:hAnsi="仿宋" w:eastAsia="仿宋" w:cs="仿宋"/>
          <w:b/>
          <w:bCs/>
          <w:color w:val="auto"/>
          <w:sz w:val="32"/>
          <w:szCs w:val="32"/>
          <w:highlight w:val="none"/>
        </w:rPr>
      </w:pPr>
    </w:p>
    <w:p>
      <w:pPr>
        <w:pStyle w:val="2"/>
        <w:rPr>
          <w:rFonts w:ascii="仿宋" w:hAnsi="仿宋" w:eastAsia="仿宋" w:cs="仿宋"/>
          <w:b/>
          <w:bCs/>
          <w:color w:val="auto"/>
          <w:sz w:val="32"/>
          <w:szCs w:val="32"/>
          <w:highlight w:val="none"/>
        </w:rPr>
      </w:pPr>
    </w:p>
    <w:p>
      <w:pPr>
        <w:overflowPunct w:val="0"/>
        <w:autoSpaceDE w:val="0"/>
        <w:spacing w:line="360" w:lineRule="auto"/>
        <w:rPr>
          <w:rFonts w:hint="eastAsia" w:ascii="仿宋" w:hAnsi="仿宋" w:eastAsia="仿宋" w:cs="仿宋"/>
          <w:b/>
          <w:bCs/>
          <w:color w:val="auto"/>
          <w:sz w:val="32"/>
          <w:szCs w:val="32"/>
          <w:highlight w:val="none"/>
        </w:rPr>
      </w:pPr>
    </w:p>
    <w:p>
      <w:pPr>
        <w:pStyle w:val="2"/>
        <w:rPr>
          <w:rFonts w:hint="eastAsia" w:ascii="仿宋" w:hAnsi="仿宋" w:eastAsia="仿宋" w:cs="仿宋"/>
          <w:b/>
          <w:bCs/>
          <w:color w:val="auto"/>
          <w:sz w:val="32"/>
          <w:szCs w:val="32"/>
          <w:highlight w:val="none"/>
        </w:rPr>
      </w:pPr>
    </w:p>
    <w:p>
      <w:pPr>
        <w:pStyle w:val="2"/>
        <w:rPr>
          <w:rFonts w:hint="eastAsia" w:ascii="仿宋" w:hAnsi="仿宋" w:eastAsia="仿宋" w:cs="仿宋"/>
          <w:b/>
          <w:bCs/>
          <w:color w:val="auto"/>
          <w:sz w:val="32"/>
          <w:szCs w:val="32"/>
          <w:highlight w:val="none"/>
        </w:rPr>
      </w:pPr>
    </w:p>
    <w:p>
      <w:pPr>
        <w:pStyle w:val="2"/>
        <w:rPr>
          <w:rFonts w:hint="eastAsia" w:ascii="仿宋" w:hAnsi="仿宋" w:eastAsia="仿宋" w:cs="仿宋"/>
          <w:b/>
          <w:bCs/>
          <w:color w:val="auto"/>
          <w:sz w:val="32"/>
          <w:szCs w:val="32"/>
          <w:highlight w:val="none"/>
        </w:rPr>
      </w:pPr>
    </w:p>
    <w:p>
      <w:pPr>
        <w:pStyle w:val="2"/>
        <w:rPr>
          <w:rFonts w:hint="eastAsia" w:ascii="仿宋" w:hAnsi="仿宋" w:eastAsia="仿宋" w:cs="仿宋"/>
          <w:b/>
          <w:bCs/>
          <w:color w:val="auto"/>
          <w:sz w:val="32"/>
          <w:szCs w:val="32"/>
          <w:highlight w:val="none"/>
        </w:rPr>
      </w:pPr>
    </w:p>
    <w:p>
      <w:pPr>
        <w:pStyle w:val="2"/>
        <w:rPr>
          <w:rFonts w:hint="eastAsia" w:ascii="仿宋" w:hAnsi="仿宋" w:eastAsia="仿宋" w:cs="仿宋"/>
          <w:b/>
          <w:bCs/>
          <w:color w:val="auto"/>
          <w:sz w:val="32"/>
          <w:szCs w:val="32"/>
          <w:highlight w:val="none"/>
        </w:rPr>
      </w:pPr>
    </w:p>
    <w:p>
      <w:pPr>
        <w:pStyle w:val="2"/>
        <w:rPr>
          <w:rFonts w:hint="eastAsia" w:ascii="仿宋" w:hAnsi="仿宋" w:eastAsia="仿宋" w:cs="仿宋"/>
          <w:b/>
          <w:bCs/>
          <w:color w:val="auto"/>
          <w:sz w:val="32"/>
          <w:szCs w:val="32"/>
          <w:highlight w:val="none"/>
        </w:rPr>
      </w:pPr>
    </w:p>
    <w:p>
      <w:pPr>
        <w:overflowPunct w:val="0"/>
        <w:autoSpaceDE w:val="0"/>
        <w:spacing w:line="360" w:lineRule="auto"/>
        <w:rPr>
          <w:rFonts w:hint="eastAsia" w:ascii="仿宋" w:hAnsi="仿宋" w:eastAsia="仿宋" w:cs="仿宋"/>
          <w:b/>
          <w:bCs/>
          <w:color w:val="auto"/>
          <w:sz w:val="32"/>
          <w:szCs w:val="32"/>
          <w:highlight w:val="none"/>
        </w:rPr>
      </w:pPr>
    </w:p>
    <w:p>
      <w:pPr>
        <w:overflowPunct w:val="0"/>
        <w:autoSpaceDE w:val="0"/>
        <w:spacing w:line="360" w:lineRule="auto"/>
        <w:rPr>
          <w:rFonts w:hint="eastAsia" w:ascii="仿宋" w:hAnsi="仿宋" w:eastAsia="仿宋" w:cs="仿宋"/>
          <w:b/>
          <w:bCs/>
          <w:color w:val="auto"/>
          <w:sz w:val="32"/>
          <w:szCs w:val="32"/>
          <w:highlight w:val="none"/>
        </w:rPr>
      </w:pPr>
    </w:p>
    <w:p>
      <w:pPr>
        <w:overflowPunct w:val="0"/>
        <w:autoSpaceDE w:val="0"/>
        <w:spacing w:line="360" w:lineRule="auto"/>
        <w:rPr>
          <w:rFonts w:hint="eastAsia" w:ascii="仿宋" w:hAnsi="仿宋" w:eastAsia="仿宋" w:cs="仿宋"/>
          <w:b/>
          <w:bCs/>
          <w:color w:val="auto"/>
          <w:sz w:val="32"/>
          <w:szCs w:val="32"/>
          <w:highlight w:val="none"/>
        </w:rPr>
      </w:pPr>
    </w:p>
    <w:p>
      <w:pPr>
        <w:overflowPunct w:val="0"/>
        <w:autoSpaceDE w:val="0"/>
        <w:spacing w:line="360" w:lineRule="auto"/>
        <w:rPr>
          <w:rFonts w:hint="eastAsia" w:ascii="仿宋" w:hAnsi="仿宋" w:eastAsia="仿宋" w:cs="仿宋"/>
          <w:b/>
          <w:bCs/>
          <w:color w:val="auto"/>
          <w:sz w:val="32"/>
          <w:szCs w:val="32"/>
          <w:highlight w:val="none"/>
        </w:rPr>
      </w:pPr>
    </w:p>
    <w:p>
      <w:pPr>
        <w:pStyle w:val="2"/>
        <w:ind w:left="0" w:leftChars="0" w:firstLine="0" w:firstLineChars="0"/>
        <w:rPr>
          <w:rFonts w:hint="eastAsia" w:ascii="仿宋" w:hAnsi="仿宋" w:eastAsia="仿宋" w:cs="仿宋"/>
          <w:b/>
          <w:bCs/>
          <w:color w:val="auto"/>
          <w:sz w:val="32"/>
          <w:szCs w:val="32"/>
          <w:highlight w:val="none"/>
        </w:rPr>
      </w:pPr>
    </w:p>
    <w:p>
      <w:pPr>
        <w:overflowPunct w:val="0"/>
        <w:autoSpaceDE w:val="0"/>
        <w:spacing w:line="360" w:lineRule="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(此页无正文)</w:t>
      </w:r>
    </w:p>
    <w:p>
      <w:pPr>
        <w:overflowPunct/>
        <w:autoSpaceDE/>
        <w:spacing w:line="240" w:lineRule="auto"/>
        <w:ind w:firstLine="560"/>
        <w:rPr>
          <w:rFonts w:hint="eastAsia" w:ascii="仿宋_GB2312" w:hAnsi="仿宋_GB2312" w:eastAsia="仿宋_GB2312" w:cs="仿宋_GB2312"/>
          <w:b w:val="0"/>
          <w:bCs w:val="0"/>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eastAsia="zh-CN"/>
        </w:rPr>
        <w:t>甲方</w:t>
      </w:r>
      <w:r>
        <w:rPr>
          <w:rFonts w:hint="eastAsia" w:ascii="仿宋_GB2312" w:hAnsi="仿宋_GB2312" w:eastAsia="仿宋_GB2312" w:cs="仿宋_GB2312"/>
          <w:color w:val="auto"/>
          <w:kern w:val="0"/>
          <w:sz w:val="28"/>
          <w:szCs w:val="28"/>
          <w:highlight w:val="none"/>
        </w:rPr>
        <w:t xml:space="preserve">（签章）：          　　　  </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lang w:eastAsia="zh-CN"/>
        </w:rPr>
        <w:t>乙方</w:t>
      </w:r>
      <w:r>
        <w:rPr>
          <w:rFonts w:hint="eastAsia" w:ascii="仿宋_GB2312" w:hAnsi="仿宋_GB2312" w:eastAsia="仿宋_GB2312" w:cs="仿宋_GB2312"/>
          <w:color w:val="auto"/>
          <w:kern w:val="0"/>
          <w:sz w:val="28"/>
          <w:szCs w:val="28"/>
          <w:highlight w:val="none"/>
        </w:rPr>
        <w:t>（签章）：</w:t>
      </w: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法定代表人：　　　　　　　　    </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或委托代理人：　　　　　　　　　</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或委托代理人：</w:t>
      </w: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经办人：                       </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 xml:space="preserve"> 经办人：</w:t>
      </w:r>
    </w:p>
    <w:p>
      <w:pPr>
        <w:keepNext w:val="0"/>
        <w:keepLines w:val="0"/>
        <w:pageBreakBefore w:val="0"/>
        <w:widowControl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 </w:t>
      </w:r>
    </w:p>
    <w:p>
      <w:pPr>
        <w:autoSpaceDE/>
        <w:autoSpaceDN/>
        <w:adjustRightInd/>
        <w:spacing w:line="240" w:lineRule="auto"/>
        <w:ind w:firstLine="560"/>
        <w:jc w:val="left"/>
        <w:rPr>
          <w:rFonts w:hint="eastAsia" w:ascii="仿宋_GB2312" w:hAnsi="仿宋_GB2312" w:eastAsia="仿宋_GB2312" w:cs="仿宋_GB2312"/>
          <w:color w:val="auto"/>
          <w:kern w:val="0"/>
          <w:sz w:val="28"/>
          <w:szCs w:val="28"/>
          <w:highlight w:val="none"/>
        </w:rPr>
      </w:pPr>
    </w:p>
    <w:p>
      <w:pPr>
        <w:ind w:left="480" w:firstLine="560"/>
        <w:rPr>
          <w:rFonts w:hint="eastAsia" w:ascii="仿宋_GB2312" w:hAnsi="仿宋_GB2312" w:eastAsia="仿宋_GB2312" w:cs="仿宋_GB2312"/>
          <w:color w:val="auto"/>
          <w:kern w:val="0"/>
          <w:sz w:val="28"/>
          <w:szCs w:val="28"/>
          <w:highlight w:val="none"/>
        </w:rPr>
      </w:pPr>
    </w:p>
    <w:p>
      <w:pPr>
        <w:ind w:left="480" w:firstLine="560"/>
        <w:rPr>
          <w:rFonts w:hint="eastAsia" w:ascii="仿宋_GB2312" w:hAnsi="仿宋_GB2312" w:eastAsia="仿宋_GB2312" w:cs="仿宋_GB2312"/>
          <w:color w:val="auto"/>
          <w:kern w:val="0"/>
          <w:sz w:val="28"/>
          <w:szCs w:val="28"/>
          <w:highlight w:val="none"/>
        </w:rPr>
      </w:pPr>
    </w:p>
    <w:p>
      <w:pPr>
        <w:ind w:left="480" w:firstLine="560"/>
        <w:rPr>
          <w:rFonts w:hint="eastAsia" w:ascii="仿宋_GB2312" w:hAnsi="仿宋_GB2312" w:eastAsia="仿宋_GB2312" w:cs="仿宋_GB2312"/>
          <w:color w:val="auto"/>
          <w:kern w:val="0"/>
          <w:sz w:val="28"/>
          <w:szCs w:val="28"/>
          <w:highlight w:val="none"/>
        </w:rPr>
      </w:pPr>
    </w:p>
    <w:p>
      <w:pPr>
        <w:ind w:left="480" w:firstLine="560"/>
        <w:rPr>
          <w:rFonts w:hint="eastAsia" w:ascii="仿宋_GB2312" w:hAnsi="仿宋_GB2312" w:eastAsia="仿宋_GB2312" w:cs="仿宋_GB2312"/>
          <w:color w:val="auto"/>
          <w:kern w:val="0"/>
          <w:sz w:val="28"/>
          <w:szCs w:val="28"/>
          <w:highlight w:val="none"/>
        </w:rPr>
      </w:pPr>
    </w:p>
    <w:p>
      <w:pPr>
        <w:ind w:left="0" w:leftChars="0" w:firstLine="3080" w:firstLineChars="1100"/>
        <w:jc w:val="righ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签订地点：贵阳市</w:t>
      </w:r>
    </w:p>
    <w:p>
      <w:pPr>
        <w:ind w:left="0" w:leftChars="0" w:firstLine="3080" w:firstLineChars="1100"/>
        <w:jc w:val="righ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签订日期:202</w:t>
      </w: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rPr>
        <w:t>年</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月</w:t>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日</w:t>
      </w:r>
    </w:p>
    <w:p>
      <w:pPr>
        <w:rPr>
          <w:color w:val="auto"/>
          <w:highlight w:val="none"/>
        </w:rPr>
      </w:pPr>
    </w:p>
    <w:p>
      <w:pPr>
        <w:pStyle w:val="2"/>
        <w:ind w:left="0" w:leftChars="0" w:firstLine="0" w:firstLineChars="0"/>
        <w:rPr>
          <w:color w:val="auto"/>
          <w:highlight w:val="none"/>
        </w:rPr>
      </w:pPr>
    </w:p>
    <w:p>
      <w:pPr>
        <w:pStyle w:val="2"/>
        <w:ind w:left="0" w:leftChars="0" w:firstLine="0" w:firstLineChars="0"/>
        <w:rPr>
          <w:rFonts w:hint="eastAsia" w:ascii="仿宋_GB2312" w:hAnsi="仿宋_GB2312" w:eastAsia="仿宋_GB2312" w:cs="仿宋_GB2312"/>
          <w:color w:val="auto"/>
          <w:sz w:val="28"/>
          <w:szCs w:val="28"/>
          <w:highlight w:val="none"/>
        </w:rPr>
      </w:pPr>
    </w:p>
    <w:sectPr>
      <w:footerReference r:id="rId3" w:type="default"/>
      <w:pgSz w:w="11906" w:h="16838"/>
      <w:pgMar w:top="1440" w:right="1800" w:bottom="1440" w:left="180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第 </w:t>
                          </w:r>
                          <w:r>
                            <w:fldChar w:fldCharType="begin"/>
                          </w:r>
                          <w:r>
                            <w:instrText xml:space="preserve"> PAGE  \* MERGEFORMAT </w:instrText>
                          </w:r>
                          <w:r>
                            <w:fldChar w:fldCharType="separate"/>
                          </w:r>
                          <w:r>
                            <w:t>11</w:t>
                          </w:r>
                          <w:r>
                            <w:fldChar w:fldCharType="end"/>
                          </w:r>
                          <w:r>
                            <w:t xml:space="preserve"> 页 共 </w:t>
                          </w:r>
                          <w:r>
                            <w:rPr>
                              <w:rFonts w:hint="eastAsia"/>
                              <w:lang w:val="en-US" w:eastAsia="zh-CN"/>
                            </w:rPr>
                            <w:t>27</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11</w:t>
                    </w:r>
                    <w:r>
                      <w:fldChar w:fldCharType="end"/>
                    </w:r>
                    <w:r>
                      <w:t xml:space="preserve"> 页 共 </w:t>
                    </w:r>
                    <w:r>
                      <w:rPr>
                        <w:rFonts w:hint="eastAsia"/>
                        <w:lang w:val="en-US" w:eastAsia="zh-CN"/>
                      </w:rPr>
                      <w:t>27</w:t>
                    </w:r>
                    <w:r>
                      <w:t xml:space="preserve"> 页</w:t>
                    </w:r>
                  </w:p>
                </w:txbxContent>
              </v:textbox>
            </v:shape>
          </w:pict>
        </mc:Fallback>
      </mc:AlternateContent>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yZWM2MzkwYWRkMmJhMTdhYmIxYzkyNGEzY2ZmODEifQ=="/>
  </w:docVars>
  <w:rsids>
    <w:rsidRoot w:val="00E969D8"/>
    <w:rsid w:val="0000139F"/>
    <w:rsid w:val="000013B0"/>
    <w:rsid w:val="00002756"/>
    <w:rsid w:val="00004412"/>
    <w:rsid w:val="000054BF"/>
    <w:rsid w:val="000056B5"/>
    <w:rsid w:val="00005943"/>
    <w:rsid w:val="00006964"/>
    <w:rsid w:val="00006FF1"/>
    <w:rsid w:val="0001006F"/>
    <w:rsid w:val="0001094C"/>
    <w:rsid w:val="00014990"/>
    <w:rsid w:val="00016153"/>
    <w:rsid w:val="000216F3"/>
    <w:rsid w:val="00022841"/>
    <w:rsid w:val="0002303C"/>
    <w:rsid w:val="00024E5A"/>
    <w:rsid w:val="00030387"/>
    <w:rsid w:val="00030D02"/>
    <w:rsid w:val="000310B3"/>
    <w:rsid w:val="00031DCC"/>
    <w:rsid w:val="000325D1"/>
    <w:rsid w:val="00033D65"/>
    <w:rsid w:val="000341DD"/>
    <w:rsid w:val="00034F52"/>
    <w:rsid w:val="0003588F"/>
    <w:rsid w:val="00037395"/>
    <w:rsid w:val="000377C4"/>
    <w:rsid w:val="00037F65"/>
    <w:rsid w:val="0004262B"/>
    <w:rsid w:val="0004404E"/>
    <w:rsid w:val="00047498"/>
    <w:rsid w:val="000502C9"/>
    <w:rsid w:val="00050307"/>
    <w:rsid w:val="00050B05"/>
    <w:rsid w:val="000510CE"/>
    <w:rsid w:val="00051482"/>
    <w:rsid w:val="000532A9"/>
    <w:rsid w:val="0005432D"/>
    <w:rsid w:val="00054415"/>
    <w:rsid w:val="00054E33"/>
    <w:rsid w:val="000574E7"/>
    <w:rsid w:val="00060FF5"/>
    <w:rsid w:val="00061C7F"/>
    <w:rsid w:val="000625AA"/>
    <w:rsid w:val="00062A90"/>
    <w:rsid w:val="00063428"/>
    <w:rsid w:val="0006380F"/>
    <w:rsid w:val="000639EE"/>
    <w:rsid w:val="0006624E"/>
    <w:rsid w:val="00066B95"/>
    <w:rsid w:val="0006769B"/>
    <w:rsid w:val="00071131"/>
    <w:rsid w:val="000719F5"/>
    <w:rsid w:val="00072F3F"/>
    <w:rsid w:val="00075D57"/>
    <w:rsid w:val="00076B1D"/>
    <w:rsid w:val="00076BBD"/>
    <w:rsid w:val="0008043B"/>
    <w:rsid w:val="0008085F"/>
    <w:rsid w:val="00080A03"/>
    <w:rsid w:val="00080F99"/>
    <w:rsid w:val="000813F9"/>
    <w:rsid w:val="00082026"/>
    <w:rsid w:val="0008349A"/>
    <w:rsid w:val="0008356A"/>
    <w:rsid w:val="0008418C"/>
    <w:rsid w:val="0008491E"/>
    <w:rsid w:val="00085D40"/>
    <w:rsid w:val="000868FD"/>
    <w:rsid w:val="00087A59"/>
    <w:rsid w:val="00090D72"/>
    <w:rsid w:val="000919B4"/>
    <w:rsid w:val="00091C04"/>
    <w:rsid w:val="000925EB"/>
    <w:rsid w:val="0009265D"/>
    <w:rsid w:val="0009332D"/>
    <w:rsid w:val="00094573"/>
    <w:rsid w:val="0009505C"/>
    <w:rsid w:val="00095EDA"/>
    <w:rsid w:val="000969A8"/>
    <w:rsid w:val="000A181D"/>
    <w:rsid w:val="000A19B7"/>
    <w:rsid w:val="000A1EB1"/>
    <w:rsid w:val="000A21C0"/>
    <w:rsid w:val="000A242D"/>
    <w:rsid w:val="000A35C0"/>
    <w:rsid w:val="000A448C"/>
    <w:rsid w:val="000A450C"/>
    <w:rsid w:val="000A5E8C"/>
    <w:rsid w:val="000A5FA2"/>
    <w:rsid w:val="000A60C5"/>
    <w:rsid w:val="000A6C70"/>
    <w:rsid w:val="000A6EA0"/>
    <w:rsid w:val="000A75F3"/>
    <w:rsid w:val="000A77F9"/>
    <w:rsid w:val="000A7A6D"/>
    <w:rsid w:val="000B012C"/>
    <w:rsid w:val="000B0184"/>
    <w:rsid w:val="000B151A"/>
    <w:rsid w:val="000B179F"/>
    <w:rsid w:val="000B3131"/>
    <w:rsid w:val="000B3BF6"/>
    <w:rsid w:val="000B421D"/>
    <w:rsid w:val="000B4E99"/>
    <w:rsid w:val="000B56D3"/>
    <w:rsid w:val="000B59BF"/>
    <w:rsid w:val="000B6C1F"/>
    <w:rsid w:val="000B6F15"/>
    <w:rsid w:val="000B6F41"/>
    <w:rsid w:val="000B7F1B"/>
    <w:rsid w:val="000C076F"/>
    <w:rsid w:val="000C14AB"/>
    <w:rsid w:val="000C14D2"/>
    <w:rsid w:val="000C27D7"/>
    <w:rsid w:val="000C3B55"/>
    <w:rsid w:val="000C3B5D"/>
    <w:rsid w:val="000C426F"/>
    <w:rsid w:val="000C4898"/>
    <w:rsid w:val="000C4CA5"/>
    <w:rsid w:val="000C4EBB"/>
    <w:rsid w:val="000C599B"/>
    <w:rsid w:val="000D2D29"/>
    <w:rsid w:val="000D3E29"/>
    <w:rsid w:val="000D4475"/>
    <w:rsid w:val="000D5869"/>
    <w:rsid w:val="000D5BAF"/>
    <w:rsid w:val="000D60A5"/>
    <w:rsid w:val="000D63F8"/>
    <w:rsid w:val="000D6D6C"/>
    <w:rsid w:val="000D7901"/>
    <w:rsid w:val="000D7FC4"/>
    <w:rsid w:val="000E29DE"/>
    <w:rsid w:val="000E6F52"/>
    <w:rsid w:val="000F16A5"/>
    <w:rsid w:val="000F1DFB"/>
    <w:rsid w:val="000F3826"/>
    <w:rsid w:val="000F62B8"/>
    <w:rsid w:val="000F6B58"/>
    <w:rsid w:val="00100498"/>
    <w:rsid w:val="00100E67"/>
    <w:rsid w:val="00101D75"/>
    <w:rsid w:val="00102A08"/>
    <w:rsid w:val="0010418A"/>
    <w:rsid w:val="0010646C"/>
    <w:rsid w:val="00106DDA"/>
    <w:rsid w:val="00106E6F"/>
    <w:rsid w:val="00107B43"/>
    <w:rsid w:val="00110726"/>
    <w:rsid w:val="001110F9"/>
    <w:rsid w:val="00111862"/>
    <w:rsid w:val="00112011"/>
    <w:rsid w:val="00112ED7"/>
    <w:rsid w:val="001135C5"/>
    <w:rsid w:val="00117ABA"/>
    <w:rsid w:val="00120E01"/>
    <w:rsid w:val="00120E8E"/>
    <w:rsid w:val="00121ED8"/>
    <w:rsid w:val="00121F38"/>
    <w:rsid w:val="0012610A"/>
    <w:rsid w:val="00126501"/>
    <w:rsid w:val="00130CA9"/>
    <w:rsid w:val="00131B1D"/>
    <w:rsid w:val="0013427C"/>
    <w:rsid w:val="001345E6"/>
    <w:rsid w:val="001347D0"/>
    <w:rsid w:val="001349A6"/>
    <w:rsid w:val="001370AF"/>
    <w:rsid w:val="0013780B"/>
    <w:rsid w:val="00140A15"/>
    <w:rsid w:val="00141631"/>
    <w:rsid w:val="00141EB8"/>
    <w:rsid w:val="00143897"/>
    <w:rsid w:val="00144762"/>
    <w:rsid w:val="0014506B"/>
    <w:rsid w:val="001450BC"/>
    <w:rsid w:val="00145301"/>
    <w:rsid w:val="00145690"/>
    <w:rsid w:val="00145FC5"/>
    <w:rsid w:val="00146B9D"/>
    <w:rsid w:val="00150547"/>
    <w:rsid w:val="00154518"/>
    <w:rsid w:val="0015624F"/>
    <w:rsid w:val="00156ED8"/>
    <w:rsid w:val="0016233B"/>
    <w:rsid w:val="001638E8"/>
    <w:rsid w:val="0016491C"/>
    <w:rsid w:val="0016559D"/>
    <w:rsid w:val="00165DC2"/>
    <w:rsid w:val="00166808"/>
    <w:rsid w:val="0017052A"/>
    <w:rsid w:val="001705DD"/>
    <w:rsid w:val="0017182D"/>
    <w:rsid w:val="00172884"/>
    <w:rsid w:val="00172BA0"/>
    <w:rsid w:val="00172BBC"/>
    <w:rsid w:val="00173287"/>
    <w:rsid w:val="00174852"/>
    <w:rsid w:val="001762AD"/>
    <w:rsid w:val="00176409"/>
    <w:rsid w:val="00177A80"/>
    <w:rsid w:val="001800D7"/>
    <w:rsid w:val="00181C00"/>
    <w:rsid w:val="00182059"/>
    <w:rsid w:val="00183911"/>
    <w:rsid w:val="00184C48"/>
    <w:rsid w:val="00184CC5"/>
    <w:rsid w:val="00184CD1"/>
    <w:rsid w:val="00184D40"/>
    <w:rsid w:val="00186901"/>
    <w:rsid w:val="00186A4A"/>
    <w:rsid w:val="00187A06"/>
    <w:rsid w:val="001906A7"/>
    <w:rsid w:val="00191676"/>
    <w:rsid w:val="00192C77"/>
    <w:rsid w:val="00193285"/>
    <w:rsid w:val="00193373"/>
    <w:rsid w:val="001934FF"/>
    <w:rsid w:val="00193A25"/>
    <w:rsid w:val="00194AA6"/>
    <w:rsid w:val="001952FD"/>
    <w:rsid w:val="0019702D"/>
    <w:rsid w:val="0019720C"/>
    <w:rsid w:val="0019787C"/>
    <w:rsid w:val="00197AC2"/>
    <w:rsid w:val="001A03A0"/>
    <w:rsid w:val="001A171F"/>
    <w:rsid w:val="001A1877"/>
    <w:rsid w:val="001A19D5"/>
    <w:rsid w:val="001A1B00"/>
    <w:rsid w:val="001A2476"/>
    <w:rsid w:val="001A31BA"/>
    <w:rsid w:val="001A44E4"/>
    <w:rsid w:val="001A51C0"/>
    <w:rsid w:val="001A5805"/>
    <w:rsid w:val="001A5D6C"/>
    <w:rsid w:val="001B0953"/>
    <w:rsid w:val="001B3A19"/>
    <w:rsid w:val="001B3C3D"/>
    <w:rsid w:val="001B4870"/>
    <w:rsid w:val="001B5367"/>
    <w:rsid w:val="001B610A"/>
    <w:rsid w:val="001B616D"/>
    <w:rsid w:val="001B713D"/>
    <w:rsid w:val="001B72A7"/>
    <w:rsid w:val="001B7971"/>
    <w:rsid w:val="001B7D56"/>
    <w:rsid w:val="001C37D5"/>
    <w:rsid w:val="001C4FB9"/>
    <w:rsid w:val="001C65F0"/>
    <w:rsid w:val="001C7466"/>
    <w:rsid w:val="001D0F74"/>
    <w:rsid w:val="001D13A1"/>
    <w:rsid w:val="001D1833"/>
    <w:rsid w:val="001D2D2C"/>
    <w:rsid w:val="001D3B38"/>
    <w:rsid w:val="001D53D3"/>
    <w:rsid w:val="001D5407"/>
    <w:rsid w:val="001E05EB"/>
    <w:rsid w:val="001E0901"/>
    <w:rsid w:val="001E0D3F"/>
    <w:rsid w:val="001E1E5E"/>
    <w:rsid w:val="001E1FA7"/>
    <w:rsid w:val="001E2E76"/>
    <w:rsid w:val="001E3C6E"/>
    <w:rsid w:val="001E4E1F"/>
    <w:rsid w:val="001E5F92"/>
    <w:rsid w:val="001E632E"/>
    <w:rsid w:val="001E739E"/>
    <w:rsid w:val="001F0034"/>
    <w:rsid w:val="001F0B2F"/>
    <w:rsid w:val="001F1D45"/>
    <w:rsid w:val="001F32E1"/>
    <w:rsid w:val="001F36FA"/>
    <w:rsid w:val="001F3A42"/>
    <w:rsid w:val="001F5177"/>
    <w:rsid w:val="001F61DE"/>
    <w:rsid w:val="001F649E"/>
    <w:rsid w:val="001F67F1"/>
    <w:rsid w:val="001F6E84"/>
    <w:rsid w:val="0020005C"/>
    <w:rsid w:val="00200452"/>
    <w:rsid w:val="002005BE"/>
    <w:rsid w:val="0020154A"/>
    <w:rsid w:val="002015C7"/>
    <w:rsid w:val="0020228A"/>
    <w:rsid w:val="002028E0"/>
    <w:rsid w:val="00202F78"/>
    <w:rsid w:val="002043B2"/>
    <w:rsid w:val="0020509A"/>
    <w:rsid w:val="00206812"/>
    <w:rsid w:val="002104AD"/>
    <w:rsid w:val="00210B74"/>
    <w:rsid w:val="002115B6"/>
    <w:rsid w:val="00213412"/>
    <w:rsid w:val="00213FF4"/>
    <w:rsid w:val="002147A2"/>
    <w:rsid w:val="002148CE"/>
    <w:rsid w:val="00215191"/>
    <w:rsid w:val="00217700"/>
    <w:rsid w:val="0022052C"/>
    <w:rsid w:val="00220F17"/>
    <w:rsid w:val="00222A7F"/>
    <w:rsid w:val="00224681"/>
    <w:rsid w:val="00224FFC"/>
    <w:rsid w:val="00225870"/>
    <w:rsid w:val="00225BDE"/>
    <w:rsid w:val="0022655E"/>
    <w:rsid w:val="0022688A"/>
    <w:rsid w:val="002313E0"/>
    <w:rsid w:val="002324B9"/>
    <w:rsid w:val="0023440E"/>
    <w:rsid w:val="002347DC"/>
    <w:rsid w:val="00240D77"/>
    <w:rsid w:val="00241E8B"/>
    <w:rsid w:val="0024270A"/>
    <w:rsid w:val="00243146"/>
    <w:rsid w:val="0024317A"/>
    <w:rsid w:val="002433CA"/>
    <w:rsid w:val="0024451D"/>
    <w:rsid w:val="002447BF"/>
    <w:rsid w:val="00245113"/>
    <w:rsid w:val="0024544B"/>
    <w:rsid w:val="00245D4F"/>
    <w:rsid w:val="002477B1"/>
    <w:rsid w:val="002477B6"/>
    <w:rsid w:val="002502FC"/>
    <w:rsid w:val="00252A35"/>
    <w:rsid w:val="00252B6C"/>
    <w:rsid w:val="00252D5B"/>
    <w:rsid w:val="00254578"/>
    <w:rsid w:val="00256AF5"/>
    <w:rsid w:val="00256DB0"/>
    <w:rsid w:val="0026013C"/>
    <w:rsid w:val="002605F8"/>
    <w:rsid w:val="00260909"/>
    <w:rsid w:val="00260F78"/>
    <w:rsid w:val="00261958"/>
    <w:rsid w:val="0026214B"/>
    <w:rsid w:val="00262E12"/>
    <w:rsid w:val="0026372C"/>
    <w:rsid w:val="002639A8"/>
    <w:rsid w:val="00263D20"/>
    <w:rsid w:val="0026461F"/>
    <w:rsid w:val="002658CC"/>
    <w:rsid w:val="00266C68"/>
    <w:rsid w:val="0026760C"/>
    <w:rsid w:val="002706D5"/>
    <w:rsid w:val="00271205"/>
    <w:rsid w:val="002718F0"/>
    <w:rsid w:val="002724A9"/>
    <w:rsid w:val="00274810"/>
    <w:rsid w:val="00275814"/>
    <w:rsid w:val="002764D9"/>
    <w:rsid w:val="002767A6"/>
    <w:rsid w:val="00277F13"/>
    <w:rsid w:val="00281943"/>
    <w:rsid w:val="0028214E"/>
    <w:rsid w:val="00282794"/>
    <w:rsid w:val="00282EED"/>
    <w:rsid w:val="00282F6A"/>
    <w:rsid w:val="00283187"/>
    <w:rsid w:val="00283E0F"/>
    <w:rsid w:val="0028485A"/>
    <w:rsid w:val="00284D3D"/>
    <w:rsid w:val="00284DBB"/>
    <w:rsid w:val="002860CF"/>
    <w:rsid w:val="0028734E"/>
    <w:rsid w:val="002879A9"/>
    <w:rsid w:val="00287C6F"/>
    <w:rsid w:val="00290845"/>
    <w:rsid w:val="002912FD"/>
    <w:rsid w:val="00291394"/>
    <w:rsid w:val="002932A4"/>
    <w:rsid w:val="00294A1B"/>
    <w:rsid w:val="00294B8D"/>
    <w:rsid w:val="002954D7"/>
    <w:rsid w:val="00295C84"/>
    <w:rsid w:val="0029692A"/>
    <w:rsid w:val="002A066F"/>
    <w:rsid w:val="002A0A41"/>
    <w:rsid w:val="002A1626"/>
    <w:rsid w:val="002A2683"/>
    <w:rsid w:val="002A3396"/>
    <w:rsid w:val="002A3D00"/>
    <w:rsid w:val="002B0FA9"/>
    <w:rsid w:val="002B18B8"/>
    <w:rsid w:val="002B1E9A"/>
    <w:rsid w:val="002B294E"/>
    <w:rsid w:val="002B4146"/>
    <w:rsid w:val="002B4D81"/>
    <w:rsid w:val="002B4F57"/>
    <w:rsid w:val="002B5B52"/>
    <w:rsid w:val="002B6497"/>
    <w:rsid w:val="002C1AE6"/>
    <w:rsid w:val="002C1DFD"/>
    <w:rsid w:val="002C39CB"/>
    <w:rsid w:val="002C4575"/>
    <w:rsid w:val="002C5150"/>
    <w:rsid w:val="002C560B"/>
    <w:rsid w:val="002C5F10"/>
    <w:rsid w:val="002C7F92"/>
    <w:rsid w:val="002D0944"/>
    <w:rsid w:val="002D126C"/>
    <w:rsid w:val="002D248A"/>
    <w:rsid w:val="002D397F"/>
    <w:rsid w:val="002D42C8"/>
    <w:rsid w:val="002D50D6"/>
    <w:rsid w:val="002D5C86"/>
    <w:rsid w:val="002D6F24"/>
    <w:rsid w:val="002E0B7A"/>
    <w:rsid w:val="002E0FB1"/>
    <w:rsid w:val="002E1829"/>
    <w:rsid w:val="002E216E"/>
    <w:rsid w:val="002E2BFA"/>
    <w:rsid w:val="002E4363"/>
    <w:rsid w:val="002E5E57"/>
    <w:rsid w:val="002E7B45"/>
    <w:rsid w:val="002E7D23"/>
    <w:rsid w:val="002F14F5"/>
    <w:rsid w:val="002F2963"/>
    <w:rsid w:val="002F2C20"/>
    <w:rsid w:val="002F30A1"/>
    <w:rsid w:val="002F3B6B"/>
    <w:rsid w:val="002F3BC7"/>
    <w:rsid w:val="002F41FA"/>
    <w:rsid w:val="002F42DC"/>
    <w:rsid w:val="002F470D"/>
    <w:rsid w:val="002F59FC"/>
    <w:rsid w:val="002F5C9E"/>
    <w:rsid w:val="002F5D58"/>
    <w:rsid w:val="0030051F"/>
    <w:rsid w:val="00300BBA"/>
    <w:rsid w:val="00301F5F"/>
    <w:rsid w:val="00303841"/>
    <w:rsid w:val="00304ABD"/>
    <w:rsid w:val="00304DEC"/>
    <w:rsid w:val="00305DEC"/>
    <w:rsid w:val="003064B2"/>
    <w:rsid w:val="003069B2"/>
    <w:rsid w:val="0031003E"/>
    <w:rsid w:val="00311B85"/>
    <w:rsid w:val="00311CE5"/>
    <w:rsid w:val="0031212D"/>
    <w:rsid w:val="00312A58"/>
    <w:rsid w:val="003137E9"/>
    <w:rsid w:val="00313C10"/>
    <w:rsid w:val="00314932"/>
    <w:rsid w:val="00315168"/>
    <w:rsid w:val="00315177"/>
    <w:rsid w:val="00315695"/>
    <w:rsid w:val="00316890"/>
    <w:rsid w:val="00317244"/>
    <w:rsid w:val="00317289"/>
    <w:rsid w:val="00320469"/>
    <w:rsid w:val="00324F0C"/>
    <w:rsid w:val="00330A78"/>
    <w:rsid w:val="003314C4"/>
    <w:rsid w:val="00333C29"/>
    <w:rsid w:val="00333E6E"/>
    <w:rsid w:val="00334A3F"/>
    <w:rsid w:val="00336843"/>
    <w:rsid w:val="00336A06"/>
    <w:rsid w:val="00337887"/>
    <w:rsid w:val="00341418"/>
    <w:rsid w:val="00341A6A"/>
    <w:rsid w:val="00341DFA"/>
    <w:rsid w:val="003433FA"/>
    <w:rsid w:val="0034459D"/>
    <w:rsid w:val="00345354"/>
    <w:rsid w:val="003454D0"/>
    <w:rsid w:val="003469D9"/>
    <w:rsid w:val="00347D9E"/>
    <w:rsid w:val="00347E61"/>
    <w:rsid w:val="003503E2"/>
    <w:rsid w:val="003512B1"/>
    <w:rsid w:val="00351C64"/>
    <w:rsid w:val="003541EA"/>
    <w:rsid w:val="003544F6"/>
    <w:rsid w:val="00355A36"/>
    <w:rsid w:val="00357368"/>
    <w:rsid w:val="0035793B"/>
    <w:rsid w:val="00357AE4"/>
    <w:rsid w:val="00360180"/>
    <w:rsid w:val="00360CB2"/>
    <w:rsid w:val="00364837"/>
    <w:rsid w:val="0036551F"/>
    <w:rsid w:val="00371DB2"/>
    <w:rsid w:val="00371F2E"/>
    <w:rsid w:val="003721D4"/>
    <w:rsid w:val="00372B65"/>
    <w:rsid w:val="00372EAF"/>
    <w:rsid w:val="00373683"/>
    <w:rsid w:val="0037410F"/>
    <w:rsid w:val="00374458"/>
    <w:rsid w:val="00375162"/>
    <w:rsid w:val="00377772"/>
    <w:rsid w:val="00380925"/>
    <w:rsid w:val="00380F6F"/>
    <w:rsid w:val="00381057"/>
    <w:rsid w:val="00381639"/>
    <w:rsid w:val="00382125"/>
    <w:rsid w:val="00384E9F"/>
    <w:rsid w:val="00385957"/>
    <w:rsid w:val="00385D35"/>
    <w:rsid w:val="00386929"/>
    <w:rsid w:val="00386F24"/>
    <w:rsid w:val="0038757D"/>
    <w:rsid w:val="00387A8C"/>
    <w:rsid w:val="00390086"/>
    <w:rsid w:val="00390A3C"/>
    <w:rsid w:val="0039114D"/>
    <w:rsid w:val="003916D6"/>
    <w:rsid w:val="003919EA"/>
    <w:rsid w:val="00394181"/>
    <w:rsid w:val="00396769"/>
    <w:rsid w:val="003970B9"/>
    <w:rsid w:val="003970ED"/>
    <w:rsid w:val="00397B63"/>
    <w:rsid w:val="00397BCE"/>
    <w:rsid w:val="003A0D23"/>
    <w:rsid w:val="003A1147"/>
    <w:rsid w:val="003A1485"/>
    <w:rsid w:val="003A1AAA"/>
    <w:rsid w:val="003A1E4C"/>
    <w:rsid w:val="003A26B9"/>
    <w:rsid w:val="003A3114"/>
    <w:rsid w:val="003A3C5D"/>
    <w:rsid w:val="003A4763"/>
    <w:rsid w:val="003A58FC"/>
    <w:rsid w:val="003B0EDA"/>
    <w:rsid w:val="003B200A"/>
    <w:rsid w:val="003B2326"/>
    <w:rsid w:val="003B2354"/>
    <w:rsid w:val="003B2442"/>
    <w:rsid w:val="003B304E"/>
    <w:rsid w:val="003B4243"/>
    <w:rsid w:val="003B4BB6"/>
    <w:rsid w:val="003B7223"/>
    <w:rsid w:val="003B74DF"/>
    <w:rsid w:val="003C0CFF"/>
    <w:rsid w:val="003C192C"/>
    <w:rsid w:val="003C25CA"/>
    <w:rsid w:val="003C4101"/>
    <w:rsid w:val="003C429E"/>
    <w:rsid w:val="003C6816"/>
    <w:rsid w:val="003D09A1"/>
    <w:rsid w:val="003D1D12"/>
    <w:rsid w:val="003D24A6"/>
    <w:rsid w:val="003D2C35"/>
    <w:rsid w:val="003D5332"/>
    <w:rsid w:val="003D5F39"/>
    <w:rsid w:val="003D6A88"/>
    <w:rsid w:val="003D75E8"/>
    <w:rsid w:val="003E1588"/>
    <w:rsid w:val="003E1B09"/>
    <w:rsid w:val="003E2087"/>
    <w:rsid w:val="003E28B1"/>
    <w:rsid w:val="003E53E7"/>
    <w:rsid w:val="003E563D"/>
    <w:rsid w:val="003E586A"/>
    <w:rsid w:val="003E7305"/>
    <w:rsid w:val="003E79AE"/>
    <w:rsid w:val="003F0282"/>
    <w:rsid w:val="003F1447"/>
    <w:rsid w:val="003F258B"/>
    <w:rsid w:val="003F3344"/>
    <w:rsid w:val="003F432E"/>
    <w:rsid w:val="003F4546"/>
    <w:rsid w:val="003F456B"/>
    <w:rsid w:val="003F5474"/>
    <w:rsid w:val="003F60DC"/>
    <w:rsid w:val="003F6E74"/>
    <w:rsid w:val="0040072E"/>
    <w:rsid w:val="00401709"/>
    <w:rsid w:val="00403D72"/>
    <w:rsid w:val="00403D7E"/>
    <w:rsid w:val="00404BA6"/>
    <w:rsid w:val="00411A49"/>
    <w:rsid w:val="00411B82"/>
    <w:rsid w:val="00412DAE"/>
    <w:rsid w:val="0041373E"/>
    <w:rsid w:val="0041461A"/>
    <w:rsid w:val="00415955"/>
    <w:rsid w:val="0041611F"/>
    <w:rsid w:val="004177B4"/>
    <w:rsid w:val="004207C0"/>
    <w:rsid w:val="004215B2"/>
    <w:rsid w:val="004219B1"/>
    <w:rsid w:val="00421B2E"/>
    <w:rsid w:val="00422C87"/>
    <w:rsid w:val="00423C65"/>
    <w:rsid w:val="00424ADA"/>
    <w:rsid w:val="004260F8"/>
    <w:rsid w:val="004263AC"/>
    <w:rsid w:val="0042723F"/>
    <w:rsid w:val="00430BAC"/>
    <w:rsid w:val="00430BCB"/>
    <w:rsid w:val="00431308"/>
    <w:rsid w:val="004319CC"/>
    <w:rsid w:val="00432B9E"/>
    <w:rsid w:val="00434023"/>
    <w:rsid w:val="00434D6C"/>
    <w:rsid w:val="00434E57"/>
    <w:rsid w:val="0043544A"/>
    <w:rsid w:val="00436873"/>
    <w:rsid w:val="00437D07"/>
    <w:rsid w:val="00441831"/>
    <w:rsid w:val="00442853"/>
    <w:rsid w:val="00442D24"/>
    <w:rsid w:val="00443A22"/>
    <w:rsid w:val="0044487F"/>
    <w:rsid w:val="00445756"/>
    <w:rsid w:val="00446153"/>
    <w:rsid w:val="004469C1"/>
    <w:rsid w:val="00446F96"/>
    <w:rsid w:val="004473C2"/>
    <w:rsid w:val="004477B8"/>
    <w:rsid w:val="00450A09"/>
    <w:rsid w:val="00451D17"/>
    <w:rsid w:val="00452057"/>
    <w:rsid w:val="004524C7"/>
    <w:rsid w:val="00453181"/>
    <w:rsid w:val="00453B67"/>
    <w:rsid w:val="00454139"/>
    <w:rsid w:val="00457F5A"/>
    <w:rsid w:val="00460998"/>
    <w:rsid w:val="004609C5"/>
    <w:rsid w:val="00461616"/>
    <w:rsid w:val="004619F5"/>
    <w:rsid w:val="00462336"/>
    <w:rsid w:val="004631FB"/>
    <w:rsid w:val="00464D7A"/>
    <w:rsid w:val="00465488"/>
    <w:rsid w:val="004678D2"/>
    <w:rsid w:val="00467D07"/>
    <w:rsid w:val="00470CFA"/>
    <w:rsid w:val="0047499E"/>
    <w:rsid w:val="004768D8"/>
    <w:rsid w:val="00481ABE"/>
    <w:rsid w:val="004827D9"/>
    <w:rsid w:val="004853D3"/>
    <w:rsid w:val="004857E5"/>
    <w:rsid w:val="00485FCF"/>
    <w:rsid w:val="0048648E"/>
    <w:rsid w:val="0048761F"/>
    <w:rsid w:val="004902B6"/>
    <w:rsid w:val="0049088A"/>
    <w:rsid w:val="00492137"/>
    <w:rsid w:val="00492865"/>
    <w:rsid w:val="00492901"/>
    <w:rsid w:val="00493C8D"/>
    <w:rsid w:val="00494885"/>
    <w:rsid w:val="00495F6C"/>
    <w:rsid w:val="004A0FBE"/>
    <w:rsid w:val="004A12DF"/>
    <w:rsid w:val="004A318A"/>
    <w:rsid w:val="004A3B84"/>
    <w:rsid w:val="004A3BEE"/>
    <w:rsid w:val="004A3D5D"/>
    <w:rsid w:val="004A3F31"/>
    <w:rsid w:val="004A45A5"/>
    <w:rsid w:val="004A4622"/>
    <w:rsid w:val="004B044A"/>
    <w:rsid w:val="004B08F5"/>
    <w:rsid w:val="004B1A3F"/>
    <w:rsid w:val="004B7054"/>
    <w:rsid w:val="004B77CB"/>
    <w:rsid w:val="004C06AD"/>
    <w:rsid w:val="004C1B3B"/>
    <w:rsid w:val="004C2809"/>
    <w:rsid w:val="004C2CB3"/>
    <w:rsid w:val="004C508E"/>
    <w:rsid w:val="004C5C45"/>
    <w:rsid w:val="004C6890"/>
    <w:rsid w:val="004C7299"/>
    <w:rsid w:val="004C7ADD"/>
    <w:rsid w:val="004D00BF"/>
    <w:rsid w:val="004D01C3"/>
    <w:rsid w:val="004D19F4"/>
    <w:rsid w:val="004D2B48"/>
    <w:rsid w:val="004D3C79"/>
    <w:rsid w:val="004D47B5"/>
    <w:rsid w:val="004D4F30"/>
    <w:rsid w:val="004D5864"/>
    <w:rsid w:val="004D66A7"/>
    <w:rsid w:val="004D7221"/>
    <w:rsid w:val="004D725A"/>
    <w:rsid w:val="004E44B4"/>
    <w:rsid w:val="004E4E4C"/>
    <w:rsid w:val="004E5C40"/>
    <w:rsid w:val="004E66C5"/>
    <w:rsid w:val="004E7D12"/>
    <w:rsid w:val="004F068C"/>
    <w:rsid w:val="004F2308"/>
    <w:rsid w:val="004F60B2"/>
    <w:rsid w:val="004F7F43"/>
    <w:rsid w:val="00501A3F"/>
    <w:rsid w:val="00501CBB"/>
    <w:rsid w:val="005025F2"/>
    <w:rsid w:val="005057E8"/>
    <w:rsid w:val="00506905"/>
    <w:rsid w:val="005070C9"/>
    <w:rsid w:val="00513D29"/>
    <w:rsid w:val="0051666B"/>
    <w:rsid w:val="00517050"/>
    <w:rsid w:val="00517F7C"/>
    <w:rsid w:val="00520858"/>
    <w:rsid w:val="005219DF"/>
    <w:rsid w:val="00522B9D"/>
    <w:rsid w:val="0052441A"/>
    <w:rsid w:val="0052451C"/>
    <w:rsid w:val="00524B89"/>
    <w:rsid w:val="00525E3E"/>
    <w:rsid w:val="005265E0"/>
    <w:rsid w:val="00530AE6"/>
    <w:rsid w:val="0053271F"/>
    <w:rsid w:val="00533DD2"/>
    <w:rsid w:val="00534654"/>
    <w:rsid w:val="0053672A"/>
    <w:rsid w:val="00541897"/>
    <w:rsid w:val="0054203B"/>
    <w:rsid w:val="005422F5"/>
    <w:rsid w:val="0054381C"/>
    <w:rsid w:val="00544613"/>
    <w:rsid w:val="00544708"/>
    <w:rsid w:val="00544E6E"/>
    <w:rsid w:val="0054506C"/>
    <w:rsid w:val="00545D55"/>
    <w:rsid w:val="00546C4F"/>
    <w:rsid w:val="00547BF6"/>
    <w:rsid w:val="005500E8"/>
    <w:rsid w:val="0055124D"/>
    <w:rsid w:val="0055206E"/>
    <w:rsid w:val="005528E5"/>
    <w:rsid w:val="005535D4"/>
    <w:rsid w:val="00553ADC"/>
    <w:rsid w:val="00554EC1"/>
    <w:rsid w:val="00555159"/>
    <w:rsid w:val="0055575F"/>
    <w:rsid w:val="00555B5D"/>
    <w:rsid w:val="00555F08"/>
    <w:rsid w:val="005567C3"/>
    <w:rsid w:val="00556B29"/>
    <w:rsid w:val="00557705"/>
    <w:rsid w:val="0055791C"/>
    <w:rsid w:val="00560BE3"/>
    <w:rsid w:val="005615BA"/>
    <w:rsid w:val="005617B5"/>
    <w:rsid w:val="0056420F"/>
    <w:rsid w:val="005671EA"/>
    <w:rsid w:val="00567B4A"/>
    <w:rsid w:val="00567FC0"/>
    <w:rsid w:val="00570013"/>
    <w:rsid w:val="00570670"/>
    <w:rsid w:val="00570D15"/>
    <w:rsid w:val="00570F87"/>
    <w:rsid w:val="005713F4"/>
    <w:rsid w:val="0057182F"/>
    <w:rsid w:val="00572702"/>
    <w:rsid w:val="00572D52"/>
    <w:rsid w:val="005739EA"/>
    <w:rsid w:val="00574181"/>
    <w:rsid w:val="00575636"/>
    <w:rsid w:val="00575AB9"/>
    <w:rsid w:val="00575E46"/>
    <w:rsid w:val="005769F2"/>
    <w:rsid w:val="005775C8"/>
    <w:rsid w:val="00577BA2"/>
    <w:rsid w:val="0058242D"/>
    <w:rsid w:val="005826AE"/>
    <w:rsid w:val="005828C9"/>
    <w:rsid w:val="00582993"/>
    <w:rsid w:val="00582A9A"/>
    <w:rsid w:val="00583902"/>
    <w:rsid w:val="00583A1D"/>
    <w:rsid w:val="00583B45"/>
    <w:rsid w:val="00584CD7"/>
    <w:rsid w:val="00586AB4"/>
    <w:rsid w:val="00586DB9"/>
    <w:rsid w:val="00591E9D"/>
    <w:rsid w:val="00592912"/>
    <w:rsid w:val="00594C29"/>
    <w:rsid w:val="005952EF"/>
    <w:rsid w:val="00595DAC"/>
    <w:rsid w:val="005A068B"/>
    <w:rsid w:val="005A07AF"/>
    <w:rsid w:val="005A0B96"/>
    <w:rsid w:val="005A1540"/>
    <w:rsid w:val="005A25B4"/>
    <w:rsid w:val="005A323B"/>
    <w:rsid w:val="005A40BA"/>
    <w:rsid w:val="005A5852"/>
    <w:rsid w:val="005A674D"/>
    <w:rsid w:val="005A682E"/>
    <w:rsid w:val="005A7FB9"/>
    <w:rsid w:val="005B0B46"/>
    <w:rsid w:val="005B179E"/>
    <w:rsid w:val="005B1E8B"/>
    <w:rsid w:val="005B1F46"/>
    <w:rsid w:val="005B3007"/>
    <w:rsid w:val="005B401B"/>
    <w:rsid w:val="005B44FB"/>
    <w:rsid w:val="005B4D30"/>
    <w:rsid w:val="005B5F4B"/>
    <w:rsid w:val="005B6D42"/>
    <w:rsid w:val="005B6E6E"/>
    <w:rsid w:val="005B6F07"/>
    <w:rsid w:val="005B721C"/>
    <w:rsid w:val="005B7EB2"/>
    <w:rsid w:val="005C02D6"/>
    <w:rsid w:val="005C02D7"/>
    <w:rsid w:val="005C27B9"/>
    <w:rsid w:val="005C2CD6"/>
    <w:rsid w:val="005C3E7D"/>
    <w:rsid w:val="005C4838"/>
    <w:rsid w:val="005C4CAE"/>
    <w:rsid w:val="005C65A4"/>
    <w:rsid w:val="005C6825"/>
    <w:rsid w:val="005C6F7B"/>
    <w:rsid w:val="005C783E"/>
    <w:rsid w:val="005C7EE0"/>
    <w:rsid w:val="005D011B"/>
    <w:rsid w:val="005D047F"/>
    <w:rsid w:val="005D1DAF"/>
    <w:rsid w:val="005D2219"/>
    <w:rsid w:val="005D2572"/>
    <w:rsid w:val="005D28A5"/>
    <w:rsid w:val="005D2CF6"/>
    <w:rsid w:val="005D40F4"/>
    <w:rsid w:val="005D52A3"/>
    <w:rsid w:val="005D5B85"/>
    <w:rsid w:val="005E2FDF"/>
    <w:rsid w:val="005E3726"/>
    <w:rsid w:val="005E4CF5"/>
    <w:rsid w:val="005E579E"/>
    <w:rsid w:val="005E5F80"/>
    <w:rsid w:val="005F02FE"/>
    <w:rsid w:val="005F03FA"/>
    <w:rsid w:val="005F0D15"/>
    <w:rsid w:val="005F11E1"/>
    <w:rsid w:val="005F30DC"/>
    <w:rsid w:val="005F54E3"/>
    <w:rsid w:val="005F5FB6"/>
    <w:rsid w:val="005F6065"/>
    <w:rsid w:val="005F62B8"/>
    <w:rsid w:val="005F64B3"/>
    <w:rsid w:val="006007FE"/>
    <w:rsid w:val="00600983"/>
    <w:rsid w:val="00601CBC"/>
    <w:rsid w:val="006027D9"/>
    <w:rsid w:val="00605A98"/>
    <w:rsid w:val="00606149"/>
    <w:rsid w:val="00606454"/>
    <w:rsid w:val="00606BA9"/>
    <w:rsid w:val="00611777"/>
    <w:rsid w:val="00612311"/>
    <w:rsid w:val="00612BF5"/>
    <w:rsid w:val="00613B3E"/>
    <w:rsid w:val="00615F0C"/>
    <w:rsid w:val="006163BD"/>
    <w:rsid w:val="0061759C"/>
    <w:rsid w:val="006176B8"/>
    <w:rsid w:val="006178ED"/>
    <w:rsid w:val="00620BD0"/>
    <w:rsid w:val="006222C0"/>
    <w:rsid w:val="00622E88"/>
    <w:rsid w:val="006257B3"/>
    <w:rsid w:val="00626DA5"/>
    <w:rsid w:val="0063071B"/>
    <w:rsid w:val="00630B8E"/>
    <w:rsid w:val="006315AF"/>
    <w:rsid w:val="00631786"/>
    <w:rsid w:val="0063199B"/>
    <w:rsid w:val="00632057"/>
    <w:rsid w:val="006344BB"/>
    <w:rsid w:val="00635622"/>
    <w:rsid w:val="00635E3B"/>
    <w:rsid w:val="006363DF"/>
    <w:rsid w:val="006426F0"/>
    <w:rsid w:val="0064356B"/>
    <w:rsid w:val="00644A44"/>
    <w:rsid w:val="0064733D"/>
    <w:rsid w:val="00647B36"/>
    <w:rsid w:val="006504CA"/>
    <w:rsid w:val="00651154"/>
    <w:rsid w:val="00651747"/>
    <w:rsid w:val="00651E0B"/>
    <w:rsid w:val="00656671"/>
    <w:rsid w:val="00657645"/>
    <w:rsid w:val="00660DA6"/>
    <w:rsid w:val="00661709"/>
    <w:rsid w:val="00662B79"/>
    <w:rsid w:val="00662EA7"/>
    <w:rsid w:val="0066423B"/>
    <w:rsid w:val="00664640"/>
    <w:rsid w:val="00665848"/>
    <w:rsid w:val="00666508"/>
    <w:rsid w:val="0066660C"/>
    <w:rsid w:val="006702C5"/>
    <w:rsid w:val="006703B1"/>
    <w:rsid w:val="00673081"/>
    <w:rsid w:val="00673782"/>
    <w:rsid w:val="00673D74"/>
    <w:rsid w:val="006740D2"/>
    <w:rsid w:val="00674208"/>
    <w:rsid w:val="0067467C"/>
    <w:rsid w:val="00674ACC"/>
    <w:rsid w:val="00675B23"/>
    <w:rsid w:val="00675C69"/>
    <w:rsid w:val="00675D4B"/>
    <w:rsid w:val="006801FD"/>
    <w:rsid w:val="00680402"/>
    <w:rsid w:val="00680BFC"/>
    <w:rsid w:val="00680CE3"/>
    <w:rsid w:val="00681B98"/>
    <w:rsid w:val="00682759"/>
    <w:rsid w:val="006833A9"/>
    <w:rsid w:val="00686840"/>
    <w:rsid w:val="006904D5"/>
    <w:rsid w:val="00690BC3"/>
    <w:rsid w:val="006914E0"/>
    <w:rsid w:val="006926C6"/>
    <w:rsid w:val="0069336A"/>
    <w:rsid w:val="006934BA"/>
    <w:rsid w:val="00693D54"/>
    <w:rsid w:val="006944B5"/>
    <w:rsid w:val="006948E2"/>
    <w:rsid w:val="00695813"/>
    <w:rsid w:val="0069742B"/>
    <w:rsid w:val="006A1A08"/>
    <w:rsid w:val="006A1E36"/>
    <w:rsid w:val="006A3F4C"/>
    <w:rsid w:val="006A4ACA"/>
    <w:rsid w:val="006A6295"/>
    <w:rsid w:val="006A6472"/>
    <w:rsid w:val="006A667A"/>
    <w:rsid w:val="006A6E83"/>
    <w:rsid w:val="006B2EA3"/>
    <w:rsid w:val="006B3914"/>
    <w:rsid w:val="006B4579"/>
    <w:rsid w:val="006B50EF"/>
    <w:rsid w:val="006B565C"/>
    <w:rsid w:val="006B6014"/>
    <w:rsid w:val="006B69D5"/>
    <w:rsid w:val="006B7015"/>
    <w:rsid w:val="006B7473"/>
    <w:rsid w:val="006C0016"/>
    <w:rsid w:val="006C1642"/>
    <w:rsid w:val="006C1C2B"/>
    <w:rsid w:val="006C1EB0"/>
    <w:rsid w:val="006C230F"/>
    <w:rsid w:val="006C3FD1"/>
    <w:rsid w:val="006C49EA"/>
    <w:rsid w:val="006C4AFC"/>
    <w:rsid w:val="006C6888"/>
    <w:rsid w:val="006D01BB"/>
    <w:rsid w:val="006D1870"/>
    <w:rsid w:val="006D26A2"/>
    <w:rsid w:val="006D282C"/>
    <w:rsid w:val="006D2B7F"/>
    <w:rsid w:val="006D3FA8"/>
    <w:rsid w:val="006D5EE0"/>
    <w:rsid w:val="006E05E4"/>
    <w:rsid w:val="006E3E76"/>
    <w:rsid w:val="006E6A5A"/>
    <w:rsid w:val="006E79B7"/>
    <w:rsid w:val="006F03F2"/>
    <w:rsid w:val="006F072F"/>
    <w:rsid w:val="006F1386"/>
    <w:rsid w:val="006F1F5A"/>
    <w:rsid w:val="006F1FEA"/>
    <w:rsid w:val="006F24BE"/>
    <w:rsid w:val="006F3311"/>
    <w:rsid w:val="006F374C"/>
    <w:rsid w:val="006F3D4C"/>
    <w:rsid w:val="006F41DE"/>
    <w:rsid w:val="006F4D81"/>
    <w:rsid w:val="006F6105"/>
    <w:rsid w:val="006F625E"/>
    <w:rsid w:val="006F64AF"/>
    <w:rsid w:val="006F7612"/>
    <w:rsid w:val="006F7768"/>
    <w:rsid w:val="0070078D"/>
    <w:rsid w:val="00701924"/>
    <w:rsid w:val="00701AA1"/>
    <w:rsid w:val="00702949"/>
    <w:rsid w:val="00702BD6"/>
    <w:rsid w:val="00703EF4"/>
    <w:rsid w:val="00703FF1"/>
    <w:rsid w:val="00705995"/>
    <w:rsid w:val="00707C22"/>
    <w:rsid w:val="00710380"/>
    <w:rsid w:val="00710717"/>
    <w:rsid w:val="00710E6B"/>
    <w:rsid w:val="007130D5"/>
    <w:rsid w:val="0071383D"/>
    <w:rsid w:val="00714F37"/>
    <w:rsid w:val="00717B69"/>
    <w:rsid w:val="007225BC"/>
    <w:rsid w:val="00722AC0"/>
    <w:rsid w:val="00722F25"/>
    <w:rsid w:val="00724A8E"/>
    <w:rsid w:val="007255C5"/>
    <w:rsid w:val="00726569"/>
    <w:rsid w:val="007271B3"/>
    <w:rsid w:val="00727514"/>
    <w:rsid w:val="00727917"/>
    <w:rsid w:val="00730432"/>
    <w:rsid w:val="0073146B"/>
    <w:rsid w:val="00731F83"/>
    <w:rsid w:val="00732F91"/>
    <w:rsid w:val="007338B3"/>
    <w:rsid w:val="007343E5"/>
    <w:rsid w:val="00735AE7"/>
    <w:rsid w:val="00735DC7"/>
    <w:rsid w:val="00736FDF"/>
    <w:rsid w:val="00737FFD"/>
    <w:rsid w:val="0074127F"/>
    <w:rsid w:val="007413F3"/>
    <w:rsid w:val="007416A7"/>
    <w:rsid w:val="007419DF"/>
    <w:rsid w:val="00741BED"/>
    <w:rsid w:val="00742D83"/>
    <w:rsid w:val="00744F8F"/>
    <w:rsid w:val="007453E5"/>
    <w:rsid w:val="00745EFB"/>
    <w:rsid w:val="00746A59"/>
    <w:rsid w:val="00750E4D"/>
    <w:rsid w:val="00751DF8"/>
    <w:rsid w:val="00753976"/>
    <w:rsid w:val="0075480F"/>
    <w:rsid w:val="00755B17"/>
    <w:rsid w:val="00756754"/>
    <w:rsid w:val="00756A06"/>
    <w:rsid w:val="00756A7C"/>
    <w:rsid w:val="00757314"/>
    <w:rsid w:val="0076385E"/>
    <w:rsid w:val="00763E9E"/>
    <w:rsid w:val="00764540"/>
    <w:rsid w:val="0076603D"/>
    <w:rsid w:val="00766629"/>
    <w:rsid w:val="00770A23"/>
    <w:rsid w:val="0077330E"/>
    <w:rsid w:val="00773BF1"/>
    <w:rsid w:val="00773D05"/>
    <w:rsid w:val="007751E3"/>
    <w:rsid w:val="007776A2"/>
    <w:rsid w:val="00777F35"/>
    <w:rsid w:val="00781837"/>
    <w:rsid w:val="00781AA2"/>
    <w:rsid w:val="00781F90"/>
    <w:rsid w:val="00782857"/>
    <w:rsid w:val="0078296E"/>
    <w:rsid w:val="00782CD4"/>
    <w:rsid w:val="00782D36"/>
    <w:rsid w:val="0078319F"/>
    <w:rsid w:val="00784F7B"/>
    <w:rsid w:val="00785A91"/>
    <w:rsid w:val="00786B10"/>
    <w:rsid w:val="007873C9"/>
    <w:rsid w:val="00791C83"/>
    <w:rsid w:val="0079256B"/>
    <w:rsid w:val="0079427F"/>
    <w:rsid w:val="00795C2D"/>
    <w:rsid w:val="00797028"/>
    <w:rsid w:val="0079713C"/>
    <w:rsid w:val="00797C6F"/>
    <w:rsid w:val="007A0A93"/>
    <w:rsid w:val="007A276F"/>
    <w:rsid w:val="007A2D37"/>
    <w:rsid w:val="007A691A"/>
    <w:rsid w:val="007A7442"/>
    <w:rsid w:val="007A7BB9"/>
    <w:rsid w:val="007A7DA9"/>
    <w:rsid w:val="007B0A70"/>
    <w:rsid w:val="007B0D1B"/>
    <w:rsid w:val="007B2BDD"/>
    <w:rsid w:val="007B4F4D"/>
    <w:rsid w:val="007B588A"/>
    <w:rsid w:val="007B659C"/>
    <w:rsid w:val="007B7FAA"/>
    <w:rsid w:val="007C05DA"/>
    <w:rsid w:val="007C0D9D"/>
    <w:rsid w:val="007C0E1A"/>
    <w:rsid w:val="007C2479"/>
    <w:rsid w:val="007C3412"/>
    <w:rsid w:val="007C637B"/>
    <w:rsid w:val="007C7428"/>
    <w:rsid w:val="007D0D0D"/>
    <w:rsid w:val="007D14E2"/>
    <w:rsid w:val="007D1DD1"/>
    <w:rsid w:val="007D1E3A"/>
    <w:rsid w:val="007D2900"/>
    <w:rsid w:val="007D3B2E"/>
    <w:rsid w:val="007D3EFA"/>
    <w:rsid w:val="007D4274"/>
    <w:rsid w:val="007D471D"/>
    <w:rsid w:val="007D61BD"/>
    <w:rsid w:val="007D66CB"/>
    <w:rsid w:val="007E0585"/>
    <w:rsid w:val="007E0CCC"/>
    <w:rsid w:val="007E1BD3"/>
    <w:rsid w:val="007E2F24"/>
    <w:rsid w:val="007E4C11"/>
    <w:rsid w:val="007E4C5F"/>
    <w:rsid w:val="007E52E4"/>
    <w:rsid w:val="007E5612"/>
    <w:rsid w:val="007E6874"/>
    <w:rsid w:val="007E7C09"/>
    <w:rsid w:val="007F0ABD"/>
    <w:rsid w:val="007F13A8"/>
    <w:rsid w:val="007F1F60"/>
    <w:rsid w:val="007F227F"/>
    <w:rsid w:val="007F28DB"/>
    <w:rsid w:val="007F35DF"/>
    <w:rsid w:val="007F3A7E"/>
    <w:rsid w:val="007F3B6E"/>
    <w:rsid w:val="007F4B30"/>
    <w:rsid w:val="007F70CF"/>
    <w:rsid w:val="007F70DB"/>
    <w:rsid w:val="007F7CAF"/>
    <w:rsid w:val="00802EE4"/>
    <w:rsid w:val="00803107"/>
    <w:rsid w:val="00804C85"/>
    <w:rsid w:val="0080533F"/>
    <w:rsid w:val="008109D4"/>
    <w:rsid w:val="00810EA6"/>
    <w:rsid w:val="00811AC6"/>
    <w:rsid w:val="00811C66"/>
    <w:rsid w:val="00813D5B"/>
    <w:rsid w:val="00813F81"/>
    <w:rsid w:val="008141B6"/>
    <w:rsid w:val="00815439"/>
    <w:rsid w:val="00815528"/>
    <w:rsid w:val="008159FC"/>
    <w:rsid w:val="00817EFC"/>
    <w:rsid w:val="0082055A"/>
    <w:rsid w:val="0082059C"/>
    <w:rsid w:val="00821C7D"/>
    <w:rsid w:val="00824808"/>
    <w:rsid w:val="00824DD4"/>
    <w:rsid w:val="00826161"/>
    <w:rsid w:val="00826E96"/>
    <w:rsid w:val="008302E1"/>
    <w:rsid w:val="00832355"/>
    <w:rsid w:val="00833145"/>
    <w:rsid w:val="008348D9"/>
    <w:rsid w:val="008368F2"/>
    <w:rsid w:val="008438DB"/>
    <w:rsid w:val="0084477B"/>
    <w:rsid w:val="00844C9F"/>
    <w:rsid w:val="00844CDA"/>
    <w:rsid w:val="00847454"/>
    <w:rsid w:val="00852245"/>
    <w:rsid w:val="00852E09"/>
    <w:rsid w:val="00853BA4"/>
    <w:rsid w:val="00853FB0"/>
    <w:rsid w:val="00855823"/>
    <w:rsid w:val="00855864"/>
    <w:rsid w:val="008558BC"/>
    <w:rsid w:val="00856185"/>
    <w:rsid w:val="00864A0D"/>
    <w:rsid w:val="00866321"/>
    <w:rsid w:val="008666EC"/>
    <w:rsid w:val="00870CB4"/>
    <w:rsid w:val="00872E41"/>
    <w:rsid w:val="008735F2"/>
    <w:rsid w:val="00875076"/>
    <w:rsid w:val="00875712"/>
    <w:rsid w:val="00875E0D"/>
    <w:rsid w:val="008761A5"/>
    <w:rsid w:val="008764DD"/>
    <w:rsid w:val="00882089"/>
    <w:rsid w:val="00882D32"/>
    <w:rsid w:val="00885183"/>
    <w:rsid w:val="0088529D"/>
    <w:rsid w:val="008859FB"/>
    <w:rsid w:val="008861D4"/>
    <w:rsid w:val="0088669C"/>
    <w:rsid w:val="00887CF8"/>
    <w:rsid w:val="0089095A"/>
    <w:rsid w:val="0089115F"/>
    <w:rsid w:val="00891262"/>
    <w:rsid w:val="008927BC"/>
    <w:rsid w:val="008931AD"/>
    <w:rsid w:val="00895481"/>
    <w:rsid w:val="0089586D"/>
    <w:rsid w:val="00895ABB"/>
    <w:rsid w:val="00896267"/>
    <w:rsid w:val="008A2CC0"/>
    <w:rsid w:val="008A3413"/>
    <w:rsid w:val="008A39C9"/>
    <w:rsid w:val="008A3A3E"/>
    <w:rsid w:val="008A425E"/>
    <w:rsid w:val="008A45AC"/>
    <w:rsid w:val="008A5025"/>
    <w:rsid w:val="008A514B"/>
    <w:rsid w:val="008A588F"/>
    <w:rsid w:val="008A5B20"/>
    <w:rsid w:val="008A77AE"/>
    <w:rsid w:val="008A7B56"/>
    <w:rsid w:val="008B020F"/>
    <w:rsid w:val="008B11C8"/>
    <w:rsid w:val="008B13A0"/>
    <w:rsid w:val="008B1CAC"/>
    <w:rsid w:val="008B2282"/>
    <w:rsid w:val="008B26FC"/>
    <w:rsid w:val="008B380D"/>
    <w:rsid w:val="008B458E"/>
    <w:rsid w:val="008B4EC9"/>
    <w:rsid w:val="008B4F05"/>
    <w:rsid w:val="008C0561"/>
    <w:rsid w:val="008C1C43"/>
    <w:rsid w:val="008C3305"/>
    <w:rsid w:val="008C39BE"/>
    <w:rsid w:val="008C481A"/>
    <w:rsid w:val="008C722C"/>
    <w:rsid w:val="008C7C96"/>
    <w:rsid w:val="008D0F6B"/>
    <w:rsid w:val="008D178D"/>
    <w:rsid w:val="008D1C5F"/>
    <w:rsid w:val="008D3DB8"/>
    <w:rsid w:val="008D3EAB"/>
    <w:rsid w:val="008D42E6"/>
    <w:rsid w:val="008D4584"/>
    <w:rsid w:val="008D55DB"/>
    <w:rsid w:val="008D57EF"/>
    <w:rsid w:val="008D5FF2"/>
    <w:rsid w:val="008D6430"/>
    <w:rsid w:val="008D6CDA"/>
    <w:rsid w:val="008D6EBC"/>
    <w:rsid w:val="008E19B0"/>
    <w:rsid w:val="008E22E3"/>
    <w:rsid w:val="008E305C"/>
    <w:rsid w:val="008E5CED"/>
    <w:rsid w:val="008E5FA3"/>
    <w:rsid w:val="008E7CA2"/>
    <w:rsid w:val="008E7EE6"/>
    <w:rsid w:val="008F0388"/>
    <w:rsid w:val="008F2720"/>
    <w:rsid w:val="008F38F8"/>
    <w:rsid w:val="008F46C3"/>
    <w:rsid w:val="008F4A4C"/>
    <w:rsid w:val="008F7C45"/>
    <w:rsid w:val="009019FA"/>
    <w:rsid w:val="0090218A"/>
    <w:rsid w:val="00905E04"/>
    <w:rsid w:val="009063D4"/>
    <w:rsid w:val="00907A53"/>
    <w:rsid w:val="00907E5E"/>
    <w:rsid w:val="0091039E"/>
    <w:rsid w:val="00910400"/>
    <w:rsid w:val="009119FB"/>
    <w:rsid w:val="0091252E"/>
    <w:rsid w:val="00917B99"/>
    <w:rsid w:val="00920D3D"/>
    <w:rsid w:val="00920DD8"/>
    <w:rsid w:val="00921B2E"/>
    <w:rsid w:val="009221C3"/>
    <w:rsid w:val="0092247C"/>
    <w:rsid w:val="00923BDB"/>
    <w:rsid w:val="00924157"/>
    <w:rsid w:val="00925226"/>
    <w:rsid w:val="0093116C"/>
    <w:rsid w:val="009321A4"/>
    <w:rsid w:val="009336B8"/>
    <w:rsid w:val="00933A39"/>
    <w:rsid w:val="00933A62"/>
    <w:rsid w:val="009341FB"/>
    <w:rsid w:val="00934F34"/>
    <w:rsid w:val="009353AE"/>
    <w:rsid w:val="00935FE5"/>
    <w:rsid w:val="00936316"/>
    <w:rsid w:val="00936BE5"/>
    <w:rsid w:val="00936F4F"/>
    <w:rsid w:val="00937AF0"/>
    <w:rsid w:val="00937DA9"/>
    <w:rsid w:val="00937EEE"/>
    <w:rsid w:val="00941391"/>
    <w:rsid w:val="009415DD"/>
    <w:rsid w:val="009423BF"/>
    <w:rsid w:val="00942C82"/>
    <w:rsid w:val="00943BED"/>
    <w:rsid w:val="00944E09"/>
    <w:rsid w:val="0094524F"/>
    <w:rsid w:val="009453FB"/>
    <w:rsid w:val="009460A9"/>
    <w:rsid w:val="00946544"/>
    <w:rsid w:val="0094797D"/>
    <w:rsid w:val="00950F7A"/>
    <w:rsid w:val="00952D17"/>
    <w:rsid w:val="00955E74"/>
    <w:rsid w:val="00956F79"/>
    <w:rsid w:val="0095707D"/>
    <w:rsid w:val="009572BD"/>
    <w:rsid w:val="009626F9"/>
    <w:rsid w:val="00962DD6"/>
    <w:rsid w:val="009633CA"/>
    <w:rsid w:val="009639BC"/>
    <w:rsid w:val="00963BEF"/>
    <w:rsid w:val="00964334"/>
    <w:rsid w:val="00964FDA"/>
    <w:rsid w:val="00965E39"/>
    <w:rsid w:val="00967222"/>
    <w:rsid w:val="009672BF"/>
    <w:rsid w:val="00967FE7"/>
    <w:rsid w:val="00970B79"/>
    <w:rsid w:val="00970BBC"/>
    <w:rsid w:val="009724EB"/>
    <w:rsid w:val="009743B0"/>
    <w:rsid w:val="009745E4"/>
    <w:rsid w:val="009764E5"/>
    <w:rsid w:val="00977441"/>
    <w:rsid w:val="009810B9"/>
    <w:rsid w:val="00985DFB"/>
    <w:rsid w:val="009867BE"/>
    <w:rsid w:val="00986FE0"/>
    <w:rsid w:val="009874AB"/>
    <w:rsid w:val="009877B6"/>
    <w:rsid w:val="00987E35"/>
    <w:rsid w:val="00987E38"/>
    <w:rsid w:val="009902AA"/>
    <w:rsid w:val="00990F6B"/>
    <w:rsid w:val="009918E0"/>
    <w:rsid w:val="009921BF"/>
    <w:rsid w:val="0099267C"/>
    <w:rsid w:val="009955FD"/>
    <w:rsid w:val="009957D4"/>
    <w:rsid w:val="0099673B"/>
    <w:rsid w:val="00997BE3"/>
    <w:rsid w:val="00997F33"/>
    <w:rsid w:val="009A03AB"/>
    <w:rsid w:val="009A0F26"/>
    <w:rsid w:val="009A1296"/>
    <w:rsid w:val="009A1BAD"/>
    <w:rsid w:val="009A2032"/>
    <w:rsid w:val="009A2639"/>
    <w:rsid w:val="009A456F"/>
    <w:rsid w:val="009A49FA"/>
    <w:rsid w:val="009A6C63"/>
    <w:rsid w:val="009A6ED7"/>
    <w:rsid w:val="009B1353"/>
    <w:rsid w:val="009B378F"/>
    <w:rsid w:val="009B422D"/>
    <w:rsid w:val="009B4676"/>
    <w:rsid w:val="009B48B0"/>
    <w:rsid w:val="009B4F28"/>
    <w:rsid w:val="009B5708"/>
    <w:rsid w:val="009B6FB4"/>
    <w:rsid w:val="009B7228"/>
    <w:rsid w:val="009B7A88"/>
    <w:rsid w:val="009C2692"/>
    <w:rsid w:val="009C4356"/>
    <w:rsid w:val="009C626D"/>
    <w:rsid w:val="009C6B35"/>
    <w:rsid w:val="009C7DB5"/>
    <w:rsid w:val="009C7FE5"/>
    <w:rsid w:val="009D0B2D"/>
    <w:rsid w:val="009D1080"/>
    <w:rsid w:val="009D3012"/>
    <w:rsid w:val="009D4866"/>
    <w:rsid w:val="009D60B7"/>
    <w:rsid w:val="009D7A57"/>
    <w:rsid w:val="009E250B"/>
    <w:rsid w:val="009E295E"/>
    <w:rsid w:val="009E39E4"/>
    <w:rsid w:val="009E3B21"/>
    <w:rsid w:val="009E443F"/>
    <w:rsid w:val="009E53AA"/>
    <w:rsid w:val="009E576B"/>
    <w:rsid w:val="009E59F2"/>
    <w:rsid w:val="009E73E1"/>
    <w:rsid w:val="009E7565"/>
    <w:rsid w:val="009E7B20"/>
    <w:rsid w:val="009E7C6F"/>
    <w:rsid w:val="009F11AA"/>
    <w:rsid w:val="009F21CC"/>
    <w:rsid w:val="009F27E1"/>
    <w:rsid w:val="009F4633"/>
    <w:rsid w:val="009F48A6"/>
    <w:rsid w:val="009F4AAD"/>
    <w:rsid w:val="009F53D1"/>
    <w:rsid w:val="009F5E4D"/>
    <w:rsid w:val="00A004D6"/>
    <w:rsid w:val="00A01A9F"/>
    <w:rsid w:val="00A01B6E"/>
    <w:rsid w:val="00A04A9E"/>
    <w:rsid w:val="00A054EC"/>
    <w:rsid w:val="00A058EB"/>
    <w:rsid w:val="00A05980"/>
    <w:rsid w:val="00A06795"/>
    <w:rsid w:val="00A06955"/>
    <w:rsid w:val="00A06AE1"/>
    <w:rsid w:val="00A10B89"/>
    <w:rsid w:val="00A10BF1"/>
    <w:rsid w:val="00A12036"/>
    <w:rsid w:val="00A14189"/>
    <w:rsid w:val="00A16585"/>
    <w:rsid w:val="00A214D1"/>
    <w:rsid w:val="00A21F12"/>
    <w:rsid w:val="00A230B9"/>
    <w:rsid w:val="00A23FB3"/>
    <w:rsid w:val="00A2410F"/>
    <w:rsid w:val="00A2618B"/>
    <w:rsid w:val="00A27393"/>
    <w:rsid w:val="00A30998"/>
    <w:rsid w:val="00A3201F"/>
    <w:rsid w:val="00A320C6"/>
    <w:rsid w:val="00A32807"/>
    <w:rsid w:val="00A337D8"/>
    <w:rsid w:val="00A3401C"/>
    <w:rsid w:val="00A3553C"/>
    <w:rsid w:val="00A36D0A"/>
    <w:rsid w:val="00A41328"/>
    <w:rsid w:val="00A41B3A"/>
    <w:rsid w:val="00A42444"/>
    <w:rsid w:val="00A43D6C"/>
    <w:rsid w:val="00A44E63"/>
    <w:rsid w:val="00A45900"/>
    <w:rsid w:val="00A46D0D"/>
    <w:rsid w:val="00A47DEB"/>
    <w:rsid w:val="00A50644"/>
    <w:rsid w:val="00A50DD8"/>
    <w:rsid w:val="00A51C34"/>
    <w:rsid w:val="00A523F0"/>
    <w:rsid w:val="00A52A04"/>
    <w:rsid w:val="00A52AD1"/>
    <w:rsid w:val="00A52E16"/>
    <w:rsid w:val="00A53992"/>
    <w:rsid w:val="00A608D4"/>
    <w:rsid w:val="00A619BD"/>
    <w:rsid w:val="00A62E08"/>
    <w:rsid w:val="00A63574"/>
    <w:rsid w:val="00A63B1F"/>
    <w:rsid w:val="00A64E28"/>
    <w:rsid w:val="00A66602"/>
    <w:rsid w:val="00A66E51"/>
    <w:rsid w:val="00A67B2E"/>
    <w:rsid w:val="00A67E29"/>
    <w:rsid w:val="00A67FAA"/>
    <w:rsid w:val="00A70416"/>
    <w:rsid w:val="00A71868"/>
    <w:rsid w:val="00A71C88"/>
    <w:rsid w:val="00A71E9A"/>
    <w:rsid w:val="00A72075"/>
    <w:rsid w:val="00A72D8E"/>
    <w:rsid w:val="00A752E8"/>
    <w:rsid w:val="00A75587"/>
    <w:rsid w:val="00A768F7"/>
    <w:rsid w:val="00A77EB2"/>
    <w:rsid w:val="00A80960"/>
    <w:rsid w:val="00A80E5E"/>
    <w:rsid w:val="00A81A72"/>
    <w:rsid w:val="00A81EAD"/>
    <w:rsid w:val="00A82337"/>
    <w:rsid w:val="00A82B36"/>
    <w:rsid w:val="00A837E1"/>
    <w:rsid w:val="00A841D0"/>
    <w:rsid w:val="00A847F3"/>
    <w:rsid w:val="00A84954"/>
    <w:rsid w:val="00A85450"/>
    <w:rsid w:val="00A85EC1"/>
    <w:rsid w:val="00A86CA9"/>
    <w:rsid w:val="00A87581"/>
    <w:rsid w:val="00A87BB5"/>
    <w:rsid w:val="00A87D45"/>
    <w:rsid w:val="00A90126"/>
    <w:rsid w:val="00A9039A"/>
    <w:rsid w:val="00A908EB"/>
    <w:rsid w:val="00A91409"/>
    <w:rsid w:val="00A921C4"/>
    <w:rsid w:val="00A929B0"/>
    <w:rsid w:val="00A93F9B"/>
    <w:rsid w:val="00A95802"/>
    <w:rsid w:val="00A963EE"/>
    <w:rsid w:val="00A96714"/>
    <w:rsid w:val="00A9700F"/>
    <w:rsid w:val="00A978C6"/>
    <w:rsid w:val="00AA1090"/>
    <w:rsid w:val="00AA1550"/>
    <w:rsid w:val="00AA2112"/>
    <w:rsid w:val="00AA3963"/>
    <w:rsid w:val="00AA5291"/>
    <w:rsid w:val="00AA5CAA"/>
    <w:rsid w:val="00AA5D90"/>
    <w:rsid w:val="00AA6ED8"/>
    <w:rsid w:val="00AA786F"/>
    <w:rsid w:val="00AA7E57"/>
    <w:rsid w:val="00AB2E1F"/>
    <w:rsid w:val="00AB3E09"/>
    <w:rsid w:val="00AB4551"/>
    <w:rsid w:val="00AB66CB"/>
    <w:rsid w:val="00AC02B0"/>
    <w:rsid w:val="00AC161A"/>
    <w:rsid w:val="00AC16DD"/>
    <w:rsid w:val="00AC1DD7"/>
    <w:rsid w:val="00AC3409"/>
    <w:rsid w:val="00AC3E52"/>
    <w:rsid w:val="00AC4DBA"/>
    <w:rsid w:val="00AC547A"/>
    <w:rsid w:val="00AC5A4B"/>
    <w:rsid w:val="00AC7299"/>
    <w:rsid w:val="00AD015A"/>
    <w:rsid w:val="00AD03B5"/>
    <w:rsid w:val="00AD13A4"/>
    <w:rsid w:val="00AD4283"/>
    <w:rsid w:val="00AD4405"/>
    <w:rsid w:val="00AD4859"/>
    <w:rsid w:val="00AD4979"/>
    <w:rsid w:val="00AD79CF"/>
    <w:rsid w:val="00AD7A3C"/>
    <w:rsid w:val="00AD7F3A"/>
    <w:rsid w:val="00AE0FD6"/>
    <w:rsid w:val="00AE2AF1"/>
    <w:rsid w:val="00AE43C7"/>
    <w:rsid w:val="00AE441E"/>
    <w:rsid w:val="00AE54CB"/>
    <w:rsid w:val="00AE5BBC"/>
    <w:rsid w:val="00AE648B"/>
    <w:rsid w:val="00AE6D58"/>
    <w:rsid w:val="00AF1A6C"/>
    <w:rsid w:val="00AF1D35"/>
    <w:rsid w:val="00AF2971"/>
    <w:rsid w:val="00AF2E8A"/>
    <w:rsid w:val="00AF3136"/>
    <w:rsid w:val="00AF321C"/>
    <w:rsid w:val="00AF3FF8"/>
    <w:rsid w:val="00AF4105"/>
    <w:rsid w:val="00AF5669"/>
    <w:rsid w:val="00AF5C95"/>
    <w:rsid w:val="00AF668B"/>
    <w:rsid w:val="00AF6F5F"/>
    <w:rsid w:val="00B005F4"/>
    <w:rsid w:val="00B0078E"/>
    <w:rsid w:val="00B01D71"/>
    <w:rsid w:val="00B01FE2"/>
    <w:rsid w:val="00B021FF"/>
    <w:rsid w:val="00B037B1"/>
    <w:rsid w:val="00B040BA"/>
    <w:rsid w:val="00B05AA9"/>
    <w:rsid w:val="00B06EE4"/>
    <w:rsid w:val="00B07FCC"/>
    <w:rsid w:val="00B100CE"/>
    <w:rsid w:val="00B10C74"/>
    <w:rsid w:val="00B11B10"/>
    <w:rsid w:val="00B11DDD"/>
    <w:rsid w:val="00B12BFD"/>
    <w:rsid w:val="00B16582"/>
    <w:rsid w:val="00B20924"/>
    <w:rsid w:val="00B21917"/>
    <w:rsid w:val="00B21DE8"/>
    <w:rsid w:val="00B22E0C"/>
    <w:rsid w:val="00B237D3"/>
    <w:rsid w:val="00B2393F"/>
    <w:rsid w:val="00B259E0"/>
    <w:rsid w:val="00B3067E"/>
    <w:rsid w:val="00B310B0"/>
    <w:rsid w:val="00B32F94"/>
    <w:rsid w:val="00B338E1"/>
    <w:rsid w:val="00B345FE"/>
    <w:rsid w:val="00B405CA"/>
    <w:rsid w:val="00B40ED1"/>
    <w:rsid w:val="00B42BF2"/>
    <w:rsid w:val="00B42FA5"/>
    <w:rsid w:val="00B43535"/>
    <w:rsid w:val="00B43BA9"/>
    <w:rsid w:val="00B44227"/>
    <w:rsid w:val="00B459D1"/>
    <w:rsid w:val="00B46CAB"/>
    <w:rsid w:val="00B472BF"/>
    <w:rsid w:val="00B47615"/>
    <w:rsid w:val="00B501A1"/>
    <w:rsid w:val="00B520AD"/>
    <w:rsid w:val="00B542EB"/>
    <w:rsid w:val="00B56AD5"/>
    <w:rsid w:val="00B61222"/>
    <w:rsid w:val="00B6128E"/>
    <w:rsid w:val="00B61921"/>
    <w:rsid w:val="00B622AD"/>
    <w:rsid w:val="00B65007"/>
    <w:rsid w:val="00B6596B"/>
    <w:rsid w:val="00B6676E"/>
    <w:rsid w:val="00B7112B"/>
    <w:rsid w:val="00B7177E"/>
    <w:rsid w:val="00B71CCD"/>
    <w:rsid w:val="00B73743"/>
    <w:rsid w:val="00B74010"/>
    <w:rsid w:val="00B74039"/>
    <w:rsid w:val="00B75CD7"/>
    <w:rsid w:val="00B76B7E"/>
    <w:rsid w:val="00B76E07"/>
    <w:rsid w:val="00B77E22"/>
    <w:rsid w:val="00B80069"/>
    <w:rsid w:val="00B80929"/>
    <w:rsid w:val="00B812D8"/>
    <w:rsid w:val="00B817F9"/>
    <w:rsid w:val="00B81FC8"/>
    <w:rsid w:val="00B83449"/>
    <w:rsid w:val="00B840FB"/>
    <w:rsid w:val="00B84132"/>
    <w:rsid w:val="00B84769"/>
    <w:rsid w:val="00B8487E"/>
    <w:rsid w:val="00B85191"/>
    <w:rsid w:val="00B86234"/>
    <w:rsid w:val="00B915AF"/>
    <w:rsid w:val="00B93C83"/>
    <w:rsid w:val="00B9479E"/>
    <w:rsid w:val="00B958CC"/>
    <w:rsid w:val="00B96D45"/>
    <w:rsid w:val="00B96E8B"/>
    <w:rsid w:val="00B97B17"/>
    <w:rsid w:val="00BA1030"/>
    <w:rsid w:val="00BA182F"/>
    <w:rsid w:val="00BA3803"/>
    <w:rsid w:val="00BA5133"/>
    <w:rsid w:val="00BA55EB"/>
    <w:rsid w:val="00BA5902"/>
    <w:rsid w:val="00BA5E4D"/>
    <w:rsid w:val="00BB004A"/>
    <w:rsid w:val="00BB032C"/>
    <w:rsid w:val="00BB0991"/>
    <w:rsid w:val="00BB1435"/>
    <w:rsid w:val="00BB24C6"/>
    <w:rsid w:val="00BB5100"/>
    <w:rsid w:val="00BB71B8"/>
    <w:rsid w:val="00BB7FAE"/>
    <w:rsid w:val="00BC03E3"/>
    <w:rsid w:val="00BC30A5"/>
    <w:rsid w:val="00BC40C9"/>
    <w:rsid w:val="00BC422F"/>
    <w:rsid w:val="00BC57CD"/>
    <w:rsid w:val="00BC5DBE"/>
    <w:rsid w:val="00BC5E9E"/>
    <w:rsid w:val="00BC6530"/>
    <w:rsid w:val="00BC6CCD"/>
    <w:rsid w:val="00BC7235"/>
    <w:rsid w:val="00BC79B9"/>
    <w:rsid w:val="00BC7B7A"/>
    <w:rsid w:val="00BD085E"/>
    <w:rsid w:val="00BD2B7D"/>
    <w:rsid w:val="00BD3097"/>
    <w:rsid w:val="00BD42B9"/>
    <w:rsid w:val="00BD4BC4"/>
    <w:rsid w:val="00BD58FA"/>
    <w:rsid w:val="00BD60F5"/>
    <w:rsid w:val="00BD7E19"/>
    <w:rsid w:val="00BD7E94"/>
    <w:rsid w:val="00BE01C4"/>
    <w:rsid w:val="00BE3844"/>
    <w:rsid w:val="00BE504E"/>
    <w:rsid w:val="00BE7659"/>
    <w:rsid w:val="00BF0720"/>
    <w:rsid w:val="00BF2CBC"/>
    <w:rsid w:val="00BF4DC4"/>
    <w:rsid w:val="00C0039E"/>
    <w:rsid w:val="00C00DAF"/>
    <w:rsid w:val="00C00E9F"/>
    <w:rsid w:val="00C010E4"/>
    <w:rsid w:val="00C01326"/>
    <w:rsid w:val="00C030B9"/>
    <w:rsid w:val="00C04C25"/>
    <w:rsid w:val="00C056A5"/>
    <w:rsid w:val="00C074C4"/>
    <w:rsid w:val="00C07F1E"/>
    <w:rsid w:val="00C07FF7"/>
    <w:rsid w:val="00C13032"/>
    <w:rsid w:val="00C134DC"/>
    <w:rsid w:val="00C14BD9"/>
    <w:rsid w:val="00C16DF8"/>
    <w:rsid w:val="00C175BE"/>
    <w:rsid w:val="00C20985"/>
    <w:rsid w:val="00C20E2C"/>
    <w:rsid w:val="00C2210A"/>
    <w:rsid w:val="00C22730"/>
    <w:rsid w:val="00C23613"/>
    <w:rsid w:val="00C24878"/>
    <w:rsid w:val="00C26264"/>
    <w:rsid w:val="00C26BAA"/>
    <w:rsid w:val="00C26D67"/>
    <w:rsid w:val="00C304E3"/>
    <w:rsid w:val="00C306F4"/>
    <w:rsid w:val="00C31624"/>
    <w:rsid w:val="00C3195B"/>
    <w:rsid w:val="00C3250F"/>
    <w:rsid w:val="00C343A7"/>
    <w:rsid w:val="00C345B2"/>
    <w:rsid w:val="00C35494"/>
    <w:rsid w:val="00C35C89"/>
    <w:rsid w:val="00C35E5A"/>
    <w:rsid w:val="00C372F1"/>
    <w:rsid w:val="00C37506"/>
    <w:rsid w:val="00C3751C"/>
    <w:rsid w:val="00C3779F"/>
    <w:rsid w:val="00C37F68"/>
    <w:rsid w:val="00C404A8"/>
    <w:rsid w:val="00C411C6"/>
    <w:rsid w:val="00C413D0"/>
    <w:rsid w:val="00C42B9F"/>
    <w:rsid w:val="00C42FB8"/>
    <w:rsid w:val="00C43271"/>
    <w:rsid w:val="00C43312"/>
    <w:rsid w:val="00C44CD4"/>
    <w:rsid w:val="00C45561"/>
    <w:rsid w:val="00C458DF"/>
    <w:rsid w:val="00C46AC3"/>
    <w:rsid w:val="00C46E78"/>
    <w:rsid w:val="00C47008"/>
    <w:rsid w:val="00C4763B"/>
    <w:rsid w:val="00C47982"/>
    <w:rsid w:val="00C51557"/>
    <w:rsid w:val="00C519F7"/>
    <w:rsid w:val="00C51AD7"/>
    <w:rsid w:val="00C53468"/>
    <w:rsid w:val="00C53EC6"/>
    <w:rsid w:val="00C54EB5"/>
    <w:rsid w:val="00C55045"/>
    <w:rsid w:val="00C55280"/>
    <w:rsid w:val="00C57243"/>
    <w:rsid w:val="00C57D4A"/>
    <w:rsid w:val="00C57EBB"/>
    <w:rsid w:val="00C60A88"/>
    <w:rsid w:val="00C62D9A"/>
    <w:rsid w:val="00C63ED7"/>
    <w:rsid w:val="00C64323"/>
    <w:rsid w:val="00C647A4"/>
    <w:rsid w:val="00C6544D"/>
    <w:rsid w:val="00C66B89"/>
    <w:rsid w:val="00C67413"/>
    <w:rsid w:val="00C707F3"/>
    <w:rsid w:val="00C712A4"/>
    <w:rsid w:val="00C7287F"/>
    <w:rsid w:val="00C7294C"/>
    <w:rsid w:val="00C74354"/>
    <w:rsid w:val="00C76AFE"/>
    <w:rsid w:val="00C777E4"/>
    <w:rsid w:val="00C80D70"/>
    <w:rsid w:val="00C816ED"/>
    <w:rsid w:val="00C81F2C"/>
    <w:rsid w:val="00C81F8A"/>
    <w:rsid w:val="00C822D3"/>
    <w:rsid w:val="00C82FE9"/>
    <w:rsid w:val="00C830BD"/>
    <w:rsid w:val="00C83F84"/>
    <w:rsid w:val="00C8404B"/>
    <w:rsid w:val="00C84F15"/>
    <w:rsid w:val="00C851B1"/>
    <w:rsid w:val="00C8618C"/>
    <w:rsid w:val="00C866D0"/>
    <w:rsid w:val="00C91724"/>
    <w:rsid w:val="00C92F25"/>
    <w:rsid w:val="00C93578"/>
    <w:rsid w:val="00C94126"/>
    <w:rsid w:val="00C9520B"/>
    <w:rsid w:val="00C962AD"/>
    <w:rsid w:val="00C963BD"/>
    <w:rsid w:val="00C969B2"/>
    <w:rsid w:val="00C97D9C"/>
    <w:rsid w:val="00CA07B1"/>
    <w:rsid w:val="00CA0A5E"/>
    <w:rsid w:val="00CA0B9B"/>
    <w:rsid w:val="00CA0BF8"/>
    <w:rsid w:val="00CA1D48"/>
    <w:rsid w:val="00CA1D50"/>
    <w:rsid w:val="00CA2B7C"/>
    <w:rsid w:val="00CA3597"/>
    <w:rsid w:val="00CA3DBA"/>
    <w:rsid w:val="00CA3E8D"/>
    <w:rsid w:val="00CA60B8"/>
    <w:rsid w:val="00CB43EC"/>
    <w:rsid w:val="00CB52C7"/>
    <w:rsid w:val="00CB6414"/>
    <w:rsid w:val="00CC2B87"/>
    <w:rsid w:val="00CC36F2"/>
    <w:rsid w:val="00CC3AE7"/>
    <w:rsid w:val="00CC3F4C"/>
    <w:rsid w:val="00CC4881"/>
    <w:rsid w:val="00CC57DA"/>
    <w:rsid w:val="00CC6007"/>
    <w:rsid w:val="00CC6718"/>
    <w:rsid w:val="00CC72A1"/>
    <w:rsid w:val="00CD0C40"/>
    <w:rsid w:val="00CD3FFC"/>
    <w:rsid w:val="00CD44AB"/>
    <w:rsid w:val="00CD7300"/>
    <w:rsid w:val="00CD78AF"/>
    <w:rsid w:val="00CE0538"/>
    <w:rsid w:val="00CE1EF7"/>
    <w:rsid w:val="00CE260D"/>
    <w:rsid w:val="00CE461B"/>
    <w:rsid w:val="00CE77A3"/>
    <w:rsid w:val="00CF0E0B"/>
    <w:rsid w:val="00CF133A"/>
    <w:rsid w:val="00CF1FC5"/>
    <w:rsid w:val="00CF3AD1"/>
    <w:rsid w:val="00CF5A1B"/>
    <w:rsid w:val="00D00FC4"/>
    <w:rsid w:val="00D01F8A"/>
    <w:rsid w:val="00D0297E"/>
    <w:rsid w:val="00D0510A"/>
    <w:rsid w:val="00D05848"/>
    <w:rsid w:val="00D05D8A"/>
    <w:rsid w:val="00D06C2B"/>
    <w:rsid w:val="00D1066E"/>
    <w:rsid w:val="00D111C9"/>
    <w:rsid w:val="00D11318"/>
    <w:rsid w:val="00D11FB3"/>
    <w:rsid w:val="00D145A0"/>
    <w:rsid w:val="00D14D25"/>
    <w:rsid w:val="00D1611D"/>
    <w:rsid w:val="00D163A1"/>
    <w:rsid w:val="00D166CD"/>
    <w:rsid w:val="00D16AA9"/>
    <w:rsid w:val="00D16B18"/>
    <w:rsid w:val="00D1716A"/>
    <w:rsid w:val="00D17C62"/>
    <w:rsid w:val="00D2033D"/>
    <w:rsid w:val="00D20C8F"/>
    <w:rsid w:val="00D20EA3"/>
    <w:rsid w:val="00D21448"/>
    <w:rsid w:val="00D21583"/>
    <w:rsid w:val="00D22455"/>
    <w:rsid w:val="00D2391A"/>
    <w:rsid w:val="00D241DE"/>
    <w:rsid w:val="00D2461F"/>
    <w:rsid w:val="00D26A5B"/>
    <w:rsid w:val="00D27B0A"/>
    <w:rsid w:val="00D314DA"/>
    <w:rsid w:val="00D31504"/>
    <w:rsid w:val="00D31CB4"/>
    <w:rsid w:val="00D33377"/>
    <w:rsid w:val="00D336A9"/>
    <w:rsid w:val="00D337F4"/>
    <w:rsid w:val="00D361D9"/>
    <w:rsid w:val="00D36CCF"/>
    <w:rsid w:val="00D37ABF"/>
    <w:rsid w:val="00D40492"/>
    <w:rsid w:val="00D41181"/>
    <w:rsid w:val="00D41FFA"/>
    <w:rsid w:val="00D4206C"/>
    <w:rsid w:val="00D4257D"/>
    <w:rsid w:val="00D42E29"/>
    <w:rsid w:val="00D43225"/>
    <w:rsid w:val="00D43680"/>
    <w:rsid w:val="00D4519E"/>
    <w:rsid w:val="00D45385"/>
    <w:rsid w:val="00D45CB2"/>
    <w:rsid w:val="00D46160"/>
    <w:rsid w:val="00D4635D"/>
    <w:rsid w:val="00D46437"/>
    <w:rsid w:val="00D46629"/>
    <w:rsid w:val="00D46BE7"/>
    <w:rsid w:val="00D476E1"/>
    <w:rsid w:val="00D47D99"/>
    <w:rsid w:val="00D5038F"/>
    <w:rsid w:val="00D50A34"/>
    <w:rsid w:val="00D534EC"/>
    <w:rsid w:val="00D54FC6"/>
    <w:rsid w:val="00D5509D"/>
    <w:rsid w:val="00D55ABB"/>
    <w:rsid w:val="00D56BA6"/>
    <w:rsid w:val="00D57168"/>
    <w:rsid w:val="00D57BD8"/>
    <w:rsid w:val="00D6021E"/>
    <w:rsid w:val="00D60349"/>
    <w:rsid w:val="00D6285C"/>
    <w:rsid w:val="00D6350D"/>
    <w:rsid w:val="00D637EA"/>
    <w:rsid w:val="00D63B67"/>
    <w:rsid w:val="00D64289"/>
    <w:rsid w:val="00D65199"/>
    <w:rsid w:val="00D65F82"/>
    <w:rsid w:val="00D66D6F"/>
    <w:rsid w:val="00D701DD"/>
    <w:rsid w:val="00D705BB"/>
    <w:rsid w:val="00D70C77"/>
    <w:rsid w:val="00D7188B"/>
    <w:rsid w:val="00D72491"/>
    <w:rsid w:val="00D72CDE"/>
    <w:rsid w:val="00D73799"/>
    <w:rsid w:val="00D7389E"/>
    <w:rsid w:val="00D7777C"/>
    <w:rsid w:val="00D77ECE"/>
    <w:rsid w:val="00D809C9"/>
    <w:rsid w:val="00D81A2D"/>
    <w:rsid w:val="00D83AD7"/>
    <w:rsid w:val="00D83ECE"/>
    <w:rsid w:val="00D84F3F"/>
    <w:rsid w:val="00D85772"/>
    <w:rsid w:val="00D85CF4"/>
    <w:rsid w:val="00D85F33"/>
    <w:rsid w:val="00D86AB3"/>
    <w:rsid w:val="00D86C41"/>
    <w:rsid w:val="00D8734B"/>
    <w:rsid w:val="00D8769B"/>
    <w:rsid w:val="00D87B09"/>
    <w:rsid w:val="00D87B0A"/>
    <w:rsid w:val="00D87CC5"/>
    <w:rsid w:val="00D90D66"/>
    <w:rsid w:val="00D91007"/>
    <w:rsid w:val="00D91353"/>
    <w:rsid w:val="00D92672"/>
    <w:rsid w:val="00D939B6"/>
    <w:rsid w:val="00D93A96"/>
    <w:rsid w:val="00D93D20"/>
    <w:rsid w:val="00D93FC4"/>
    <w:rsid w:val="00D952C0"/>
    <w:rsid w:val="00D9677E"/>
    <w:rsid w:val="00D97F1F"/>
    <w:rsid w:val="00DA0128"/>
    <w:rsid w:val="00DA1C3C"/>
    <w:rsid w:val="00DA4235"/>
    <w:rsid w:val="00DA5668"/>
    <w:rsid w:val="00DA5FF9"/>
    <w:rsid w:val="00DA67A9"/>
    <w:rsid w:val="00DA6E84"/>
    <w:rsid w:val="00DA6F59"/>
    <w:rsid w:val="00DB08F9"/>
    <w:rsid w:val="00DB1278"/>
    <w:rsid w:val="00DB1651"/>
    <w:rsid w:val="00DB22B6"/>
    <w:rsid w:val="00DB24A7"/>
    <w:rsid w:val="00DB41BD"/>
    <w:rsid w:val="00DB41CA"/>
    <w:rsid w:val="00DB5D14"/>
    <w:rsid w:val="00DB60DA"/>
    <w:rsid w:val="00DB745F"/>
    <w:rsid w:val="00DC2F9B"/>
    <w:rsid w:val="00DC3A08"/>
    <w:rsid w:val="00DC3BC2"/>
    <w:rsid w:val="00DC591F"/>
    <w:rsid w:val="00DC6072"/>
    <w:rsid w:val="00DC72C6"/>
    <w:rsid w:val="00DC7749"/>
    <w:rsid w:val="00DD01E4"/>
    <w:rsid w:val="00DD0608"/>
    <w:rsid w:val="00DD142F"/>
    <w:rsid w:val="00DD4177"/>
    <w:rsid w:val="00DD5780"/>
    <w:rsid w:val="00DD77ED"/>
    <w:rsid w:val="00DD7F9E"/>
    <w:rsid w:val="00DE1770"/>
    <w:rsid w:val="00DE19D5"/>
    <w:rsid w:val="00DE1D72"/>
    <w:rsid w:val="00DE26B8"/>
    <w:rsid w:val="00DE31AA"/>
    <w:rsid w:val="00DE513D"/>
    <w:rsid w:val="00DE52DB"/>
    <w:rsid w:val="00DE5787"/>
    <w:rsid w:val="00DE5BCD"/>
    <w:rsid w:val="00DE69D2"/>
    <w:rsid w:val="00DE6DF7"/>
    <w:rsid w:val="00DE7A43"/>
    <w:rsid w:val="00DE7F30"/>
    <w:rsid w:val="00DF01AF"/>
    <w:rsid w:val="00DF0768"/>
    <w:rsid w:val="00DF1C84"/>
    <w:rsid w:val="00DF24AB"/>
    <w:rsid w:val="00DF3988"/>
    <w:rsid w:val="00DF3CDE"/>
    <w:rsid w:val="00DF3E9B"/>
    <w:rsid w:val="00DF4DCB"/>
    <w:rsid w:val="00DF5A92"/>
    <w:rsid w:val="00E00530"/>
    <w:rsid w:val="00E01C0D"/>
    <w:rsid w:val="00E05D39"/>
    <w:rsid w:val="00E06639"/>
    <w:rsid w:val="00E07CCE"/>
    <w:rsid w:val="00E07DA7"/>
    <w:rsid w:val="00E100ED"/>
    <w:rsid w:val="00E12BA7"/>
    <w:rsid w:val="00E12DE4"/>
    <w:rsid w:val="00E12F72"/>
    <w:rsid w:val="00E134CA"/>
    <w:rsid w:val="00E13597"/>
    <w:rsid w:val="00E15617"/>
    <w:rsid w:val="00E160A7"/>
    <w:rsid w:val="00E1679B"/>
    <w:rsid w:val="00E172CC"/>
    <w:rsid w:val="00E203D8"/>
    <w:rsid w:val="00E208EB"/>
    <w:rsid w:val="00E20CAF"/>
    <w:rsid w:val="00E21A5D"/>
    <w:rsid w:val="00E2211F"/>
    <w:rsid w:val="00E22C7A"/>
    <w:rsid w:val="00E2360A"/>
    <w:rsid w:val="00E237E9"/>
    <w:rsid w:val="00E23881"/>
    <w:rsid w:val="00E238D1"/>
    <w:rsid w:val="00E250D2"/>
    <w:rsid w:val="00E27C33"/>
    <w:rsid w:val="00E27CE8"/>
    <w:rsid w:val="00E31656"/>
    <w:rsid w:val="00E31708"/>
    <w:rsid w:val="00E319BE"/>
    <w:rsid w:val="00E31C2C"/>
    <w:rsid w:val="00E31DFE"/>
    <w:rsid w:val="00E32A89"/>
    <w:rsid w:val="00E35436"/>
    <w:rsid w:val="00E35AFD"/>
    <w:rsid w:val="00E36256"/>
    <w:rsid w:val="00E36760"/>
    <w:rsid w:val="00E374A2"/>
    <w:rsid w:val="00E379AC"/>
    <w:rsid w:val="00E4029A"/>
    <w:rsid w:val="00E407BC"/>
    <w:rsid w:val="00E41B4A"/>
    <w:rsid w:val="00E420F0"/>
    <w:rsid w:val="00E444DA"/>
    <w:rsid w:val="00E45127"/>
    <w:rsid w:val="00E457DE"/>
    <w:rsid w:val="00E46197"/>
    <w:rsid w:val="00E463D8"/>
    <w:rsid w:val="00E46ECC"/>
    <w:rsid w:val="00E470E0"/>
    <w:rsid w:val="00E47B18"/>
    <w:rsid w:val="00E5012C"/>
    <w:rsid w:val="00E51294"/>
    <w:rsid w:val="00E51A1B"/>
    <w:rsid w:val="00E5229F"/>
    <w:rsid w:val="00E52D37"/>
    <w:rsid w:val="00E53A0A"/>
    <w:rsid w:val="00E53A95"/>
    <w:rsid w:val="00E54AC5"/>
    <w:rsid w:val="00E555B8"/>
    <w:rsid w:val="00E56ADB"/>
    <w:rsid w:val="00E575D2"/>
    <w:rsid w:val="00E60A73"/>
    <w:rsid w:val="00E6261B"/>
    <w:rsid w:val="00E63058"/>
    <w:rsid w:val="00E64144"/>
    <w:rsid w:val="00E64527"/>
    <w:rsid w:val="00E6517F"/>
    <w:rsid w:val="00E65683"/>
    <w:rsid w:val="00E65A21"/>
    <w:rsid w:val="00E72225"/>
    <w:rsid w:val="00E72568"/>
    <w:rsid w:val="00E72A16"/>
    <w:rsid w:val="00E73A2E"/>
    <w:rsid w:val="00E73C51"/>
    <w:rsid w:val="00E7482C"/>
    <w:rsid w:val="00E75C3B"/>
    <w:rsid w:val="00E77670"/>
    <w:rsid w:val="00E776AB"/>
    <w:rsid w:val="00E80575"/>
    <w:rsid w:val="00E818B9"/>
    <w:rsid w:val="00E81B1D"/>
    <w:rsid w:val="00E8223D"/>
    <w:rsid w:val="00E822F3"/>
    <w:rsid w:val="00E8293C"/>
    <w:rsid w:val="00E83CA0"/>
    <w:rsid w:val="00E847CE"/>
    <w:rsid w:val="00E84EFA"/>
    <w:rsid w:val="00E852AB"/>
    <w:rsid w:val="00E86116"/>
    <w:rsid w:val="00E916D2"/>
    <w:rsid w:val="00E9199D"/>
    <w:rsid w:val="00E91FDD"/>
    <w:rsid w:val="00E93EEB"/>
    <w:rsid w:val="00E93F1C"/>
    <w:rsid w:val="00E94084"/>
    <w:rsid w:val="00E94096"/>
    <w:rsid w:val="00E95E67"/>
    <w:rsid w:val="00E969D8"/>
    <w:rsid w:val="00EA0908"/>
    <w:rsid w:val="00EA0B80"/>
    <w:rsid w:val="00EA102D"/>
    <w:rsid w:val="00EA13B8"/>
    <w:rsid w:val="00EA2E63"/>
    <w:rsid w:val="00EA31C3"/>
    <w:rsid w:val="00EA513C"/>
    <w:rsid w:val="00EB062A"/>
    <w:rsid w:val="00EB104E"/>
    <w:rsid w:val="00EB108B"/>
    <w:rsid w:val="00EB1147"/>
    <w:rsid w:val="00EB1D2D"/>
    <w:rsid w:val="00EB20F9"/>
    <w:rsid w:val="00EB23BD"/>
    <w:rsid w:val="00EB45CF"/>
    <w:rsid w:val="00EB71A5"/>
    <w:rsid w:val="00EC1A80"/>
    <w:rsid w:val="00EC1F70"/>
    <w:rsid w:val="00EC2B69"/>
    <w:rsid w:val="00EC2E22"/>
    <w:rsid w:val="00EC2E80"/>
    <w:rsid w:val="00EC3FA0"/>
    <w:rsid w:val="00EC483C"/>
    <w:rsid w:val="00EC4E2F"/>
    <w:rsid w:val="00EC7A0D"/>
    <w:rsid w:val="00EC7D54"/>
    <w:rsid w:val="00ED3CE2"/>
    <w:rsid w:val="00ED48A1"/>
    <w:rsid w:val="00ED48B2"/>
    <w:rsid w:val="00ED62D5"/>
    <w:rsid w:val="00ED7558"/>
    <w:rsid w:val="00ED7A0C"/>
    <w:rsid w:val="00EE02DD"/>
    <w:rsid w:val="00EE2998"/>
    <w:rsid w:val="00EE4ED2"/>
    <w:rsid w:val="00EE58E3"/>
    <w:rsid w:val="00EE6B5F"/>
    <w:rsid w:val="00EE7E70"/>
    <w:rsid w:val="00EF014F"/>
    <w:rsid w:val="00EF09F6"/>
    <w:rsid w:val="00EF1074"/>
    <w:rsid w:val="00EF1BC2"/>
    <w:rsid w:val="00EF5BAE"/>
    <w:rsid w:val="00EF5CD5"/>
    <w:rsid w:val="00EF5DAD"/>
    <w:rsid w:val="00EF7288"/>
    <w:rsid w:val="00EF7F37"/>
    <w:rsid w:val="00EF7F7E"/>
    <w:rsid w:val="00F01989"/>
    <w:rsid w:val="00F02C7A"/>
    <w:rsid w:val="00F056CD"/>
    <w:rsid w:val="00F07203"/>
    <w:rsid w:val="00F10667"/>
    <w:rsid w:val="00F1075F"/>
    <w:rsid w:val="00F10BF5"/>
    <w:rsid w:val="00F1191B"/>
    <w:rsid w:val="00F12A67"/>
    <w:rsid w:val="00F12C2D"/>
    <w:rsid w:val="00F13E49"/>
    <w:rsid w:val="00F14667"/>
    <w:rsid w:val="00F148C6"/>
    <w:rsid w:val="00F14A83"/>
    <w:rsid w:val="00F14BAB"/>
    <w:rsid w:val="00F1517C"/>
    <w:rsid w:val="00F15C00"/>
    <w:rsid w:val="00F15CEA"/>
    <w:rsid w:val="00F17C04"/>
    <w:rsid w:val="00F202FD"/>
    <w:rsid w:val="00F20C25"/>
    <w:rsid w:val="00F21233"/>
    <w:rsid w:val="00F24447"/>
    <w:rsid w:val="00F24D8A"/>
    <w:rsid w:val="00F255F3"/>
    <w:rsid w:val="00F25916"/>
    <w:rsid w:val="00F26EF6"/>
    <w:rsid w:val="00F27733"/>
    <w:rsid w:val="00F3064C"/>
    <w:rsid w:val="00F31AFD"/>
    <w:rsid w:val="00F3227E"/>
    <w:rsid w:val="00F32EFC"/>
    <w:rsid w:val="00F35149"/>
    <w:rsid w:val="00F355ED"/>
    <w:rsid w:val="00F36FF5"/>
    <w:rsid w:val="00F37160"/>
    <w:rsid w:val="00F37B27"/>
    <w:rsid w:val="00F4020C"/>
    <w:rsid w:val="00F405CB"/>
    <w:rsid w:val="00F41E71"/>
    <w:rsid w:val="00F42B1C"/>
    <w:rsid w:val="00F43E64"/>
    <w:rsid w:val="00F44295"/>
    <w:rsid w:val="00F44797"/>
    <w:rsid w:val="00F456B0"/>
    <w:rsid w:val="00F45F3D"/>
    <w:rsid w:val="00F46B17"/>
    <w:rsid w:val="00F46D20"/>
    <w:rsid w:val="00F47B8D"/>
    <w:rsid w:val="00F52F03"/>
    <w:rsid w:val="00F54063"/>
    <w:rsid w:val="00F56181"/>
    <w:rsid w:val="00F57AE6"/>
    <w:rsid w:val="00F57B06"/>
    <w:rsid w:val="00F60BB1"/>
    <w:rsid w:val="00F6231E"/>
    <w:rsid w:val="00F6368D"/>
    <w:rsid w:val="00F64194"/>
    <w:rsid w:val="00F64A40"/>
    <w:rsid w:val="00F65418"/>
    <w:rsid w:val="00F656B6"/>
    <w:rsid w:val="00F668AD"/>
    <w:rsid w:val="00F66FA1"/>
    <w:rsid w:val="00F7219C"/>
    <w:rsid w:val="00F72BB6"/>
    <w:rsid w:val="00F72E8D"/>
    <w:rsid w:val="00F74F72"/>
    <w:rsid w:val="00F77086"/>
    <w:rsid w:val="00F779A3"/>
    <w:rsid w:val="00F80B9B"/>
    <w:rsid w:val="00F80F4E"/>
    <w:rsid w:val="00F816F6"/>
    <w:rsid w:val="00F83D9C"/>
    <w:rsid w:val="00F90E7C"/>
    <w:rsid w:val="00F9147A"/>
    <w:rsid w:val="00F916E8"/>
    <w:rsid w:val="00F91C82"/>
    <w:rsid w:val="00F92D8A"/>
    <w:rsid w:val="00F93BF8"/>
    <w:rsid w:val="00F93C00"/>
    <w:rsid w:val="00F951BD"/>
    <w:rsid w:val="00F97DAC"/>
    <w:rsid w:val="00FA1BF0"/>
    <w:rsid w:val="00FA1CC0"/>
    <w:rsid w:val="00FA359A"/>
    <w:rsid w:val="00FA4922"/>
    <w:rsid w:val="00FA4966"/>
    <w:rsid w:val="00FA5ECD"/>
    <w:rsid w:val="00FB0471"/>
    <w:rsid w:val="00FB3C84"/>
    <w:rsid w:val="00FB453E"/>
    <w:rsid w:val="00FB4F73"/>
    <w:rsid w:val="00FB5983"/>
    <w:rsid w:val="00FB6E4D"/>
    <w:rsid w:val="00FC0271"/>
    <w:rsid w:val="00FC0B3E"/>
    <w:rsid w:val="00FC5A2B"/>
    <w:rsid w:val="00FC5F17"/>
    <w:rsid w:val="00FC6049"/>
    <w:rsid w:val="00FC610F"/>
    <w:rsid w:val="00FC6475"/>
    <w:rsid w:val="00FD1032"/>
    <w:rsid w:val="00FD13BF"/>
    <w:rsid w:val="00FD258E"/>
    <w:rsid w:val="00FD3F5C"/>
    <w:rsid w:val="00FD665D"/>
    <w:rsid w:val="00FE0FC4"/>
    <w:rsid w:val="00FE14FC"/>
    <w:rsid w:val="00FE19E1"/>
    <w:rsid w:val="00FE21EF"/>
    <w:rsid w:val="00FE2389"/>
    <w:rsid w:val="00FE24C0"/>
    <w:rsid w:val="00FE35B1"/>
    <w:rsid w:val="00FE3B9E"/>
    <w:rsid w:val="00FE543C"/>
    <w:rsid w:val="00FE699C"/>
    <w:rsid w:val="00FE7E18"/>
    <w:rsid w:val="00FF2A90"/>
    <w:rsid w:val="00FF32A1"/>
    <w:rsid w:val="00FF4E88"/>
    <w:rsid w:val="00FF6271"/>
    <w:rsid w:val="00FF7CDC"/>
    <w:rsid w:val="01087927"/>
    <w:rsid w:val="011D2710"/>
    <w:rsid w:val="01203FAE"/>
    <w:rsid w:val="01311D17"/>
    <w:rsid w:val="0136732D"/>
    <w:rsid w:val="016320EC"/>
    <w:rsid w:val="01BB7833"/>
    <w:rsid w:val="01C42B8B"/>
    <w:rsid w:val="01E07299"/>
    <w:rsid w:val="01F01BD2"/>
    <w:rsid w:val="01F82835"/>
    <w:rsid w:val="02421D02"/>
    <w:rsid w:val="02432F54"/>
    <w:rsid w:val="025D6B3C"/>
    <w:rsid w:val="025F28B4"/>
    <w:rsid w:val="02777BFD"/>
    <w:rsid w:val="028642E4"/>
    <w:rsid w:val="02B67745"/>
    <w:rsid w:val="02C10E79"/>
    <w:rsid w:val="02C72BF4"/>
    <w:rsid w:val="02CE4AF8"/>
    <w:rsid w:val="02DC5BDA"/>
    <w:rsid w:val="02E1776D"/>
    <w:rsid w:val="03060F81"/>
    <w:rsid w:val="03634626"/>
    <w:rsid w:val="036500A3"/>
    <w:rsid w:val="03710AF1"/>
    <w:rsid w:val="038A3960"/>
    <w:rsid w:val="039C6B90"/>
    <w:rsid w:val="03BE7AAE"/>
    <w:rsid w:val="03CC21CB"/>
    <w:rsid w:val="03E07A24"/>
    <w:rsid w:val="04011608"/>
    <w:rsid w:val="04025BED"/>
    <w:rsid w:val="04166899"/>
    <w:rsid w:val="041C213A"/>
    <w:rsid w:val="042D669A"/>
    <w:rsid w:val="043A7135"/>
    <w:rsid w:val="044004C3"/>
    <w:rsid w:val="04694225"/>
    <w:rsid w:val="04CE3D21"/>
    <w:rsid w:val="05092FAB"/>
    <w:rsid w:val="052A6465"/>
    <w:rsid w:val="05356F0C"/>
    <w:rsid w:val="05442AB5"/>
    <w:rsid w:val="054A2690"/>
    <w:rsid w:val="0559183C"/>
    <w:rsid w:val="0580501B"/>
    <w:rsid w:val="05951960"/>
    <w:rsid w:val="05B80C59"/>
    <w:rsid w:val="05C16FBC"/>
    <w:rsid w:val="05CB4F86"/>
    <w:rsid w:val="05F07596"/>
    <w:rsid w:val="05F11A75"/>
    <w:rsid w:val="062F07EF"/>
    <w:rsid w:val="063302DF"/>
    <w:rsid w:val="066F441B"/>
    <w:rsid w:val="069168D1"/>
    <w:rsid w:val="069E2100"/>
    <w:rsid w:val="06D37278"/>
    <w:rsid w:val="06D72275"/>
    <w:rsid w:val="06EF48A4"/>
    <w:rsid w:val="06F51BB8"/>
    <w:rsid w:val="07172745"/>
    <w:rsid w:val="0719007C"/>
    <w:rsid w:val="079344F1"/>
    <w:rsid w:val="07941252"/>
    <w:rsid w:val="07C02500"/>
    <w:rsid w:val="07CB58AC"/>
    <w:rsid w:val="07D94EB6"/>
    <w:rsid w:val="07DE6DEC"/>
    <w:rsid w:val="07F6608B"/>
    <w:rsid w:val="07FA241B"/>
    <w:rsid w:val="0808754A"/>
    <w:rsid w:val="084E1401"/>
    <w:rsid w:val="08503D4D"/>
    <w:rsid w:val="08534C69"/>
    <w:rsid w:val="087A372F"/>
    <w:rsid w:val="08913F39"/>
    <w:rsid w:val="089D5EE4"/>
    <w:rsid w:val="08B60D54"/>
    <w:rsid w:val="08C16076"/>
    <w:rsid w:val="08D20398"/>
    <w:rsid w:val="08E25FED"/>
    <w:rsid w:val="08E94428"/>
    <w:rsid w:val="09281B8B"/>
    <w:rsid w:val="094D0DF9"/>
    <w:rsid w:val="098576A0"/>
    <w:rsid w:val="09A03EDE"/>
    <w:rsid w:val="09B07E99"/>
    <w:rsid w:val="09CA0F5B"/>
    <w:rsid w:val="09D12C0B"/>
    <w:rsid w:val="09DE0B71"/>
    <w:rsid w:val="09E13554"/>
    <w:rsid w:val="09E244F6"/>
    <w:rsid w:val="09ED69F7"/>
    <w:rsid w:val="09FE6BF5"/>
    <w:rsid w:val="0A171A87"/>
    <w:rsid w:val="0A670558"/>
    <w:rsid w:val="0ACA6D38"/>
    <w:rsid w:val="0AD41965"/>
    <w:rsid w:val="0ADD2F10"/>
    <w:rsid w:val="0ADE2980"/>
    <w:rsid w:val="0AEF64FE"/>
    <w:rsid w:val="0B0C1686"/>
    <w:rsid w:val="0B2B7116"/>
    <w:rsid w:val="0B365055"/>
    <w:rsid w:val="0B4E1717"/>
    <w:rsid w:val="0B6A74AB"/>
    <w:rsid w:val="0B7C6D22"/>
    <w:rsid w:val="0BB41BF8"/>
    <w:rsid w:val="0BCC222C"/>
    <w:rsid w:val="0BDF7533"/>
    <w:rsid w:val="0C1069CD"/>
    <w:rsid w:val="0C1832F6"/>
    <w:rsid w:val="0C34090D"/>
    <w:rsid w:val="0C5114BF"/>
    <w:rsid w:val="0C760F26"/>
    <w:rsid w:val="0C7627E5"/>
    <w:rsid w:val="0C8E2713"/>
    <w:rsid w:val="0CB8271B"/>
    <w:rsid w:val="0CC03DCB"/>
    <w:rsid w:val="0D136775"/>
    <w:rsid w:val="0D700C16"/>
    <w:rsid w:val="0D78528B"/>
    <w:rsid w:val="0D7A5069"/>
    <w:rsid w:val="0D800A3B"/>
    <w:rsid w:val="0D85778E"/>
    <w:rsid w:val="0D8A6A49"/>
    <w:rsid w:val="0D955D1D"/>
    <w:rsid w:val="0DAB5AB5"/>
    <w:rsid w:val="0DC14423"/>
    <w:rsid w:val="0DCD2DC7"/>
    <w:rsid w:val="0DCE2F85"/>
    <w:rsid w:val="0E2A646C"/>
    <w:rsid w:val="0E347EF2"/>
    <w:rsid w:val="0E366597"/>
    <w:rsid w:val="0E59465B"/>
    <w:rsid w:val="0E7617A1"/>
    <w:rsid w:val="0E984C9D"/>
    <w:rsid w:val="0EFF16A6"/>
    <w:rsid w:val="0F0740B7"/>
    <w:rsid w:val="0F3E21E4"/>
    <w:rsid w:val="0F4B08D4"/>
    <w:rsid w:val="0F4F1192"/>
    <w:rsid w:val="0F661726"/>
    <w:rsid w:val="0F766C2C"/>
    <w:rsid w:val="0F881B8A"/>
    <w:rsid w:val="0F9A45BD"/>
    <w:rsid w:val="100D1679"/>
    <w:rsid w:val="101F366E"/>
    <w:rsid w:val="104069D3"/>
    <w:rsid w:val="104F3F68"/>
    <w:rsid w:val="10583283"/>
    <w:rsid w:val="10B97633"/>
    <w:rsid w:val="10BB6702"/>
    <w:rsid w:val="10C37E1B"/>
    <w:rsid w:val="10DB57FB"/>
    <w:rsid w:val="10F66AD9"/>
    <w:rsid w:val="110034B4"/>
    <w:rsid w:val="1122167C"/>
    <w:rsid w:val="1145536B"/>
    <w:rsid w:val="114C04A7"/>
    <w:rsid w:val="115B229C"/>
    <w:rsid w:val="11673533"/>
    <w:rsid w:val="11AB78C4"/>
    <w:rsid w:val="11C91AF8"/>
    <w:rsid w:val="11CC10D7"/>
    <w:rsid w:val="11CE35B2"/>
    <w:rsid w:val="11D005E1"/>
    <w:rsid w:val="11FF3F33"/>
    <w:rsid w:val="11FF551A"/>
    <w:rsid w:val="121B2210"/>
    <w:rsid w:val="12843C71"/>
    <w:rsid w:val="128B54F3"/>
    <w:rsid w:val="12F64B6E"/>
    <w:rsid w:val="12F97AE1"/>
    <w:rsid w:val="12FC53BE"/>
    <w:rsid w:val="130C25E4"/>
    <w:rsid w:val="131B2827"/>
    <w:rsid w:val="131C5AA4"/>
    <w:rsid w:val="135875D7"/>
    <w:rsid w:val="139513AE"/>
    <w:rsid w:val="13963C5C"/>
    <w:rsid w:val="13BD7F30"/>
    <w:rsid w:val="142421BD"/>
    <w:rsid w:val="142B4CEC"/>
    <w:rsid w:val="143B01D9"/>
    <w:rsid w:val="14401BAF"/>
    <w:rsid w:val="14467430"/>
    <w:rsid w:val="1457163D"/>
    <w:rsid w:val="147A17CF"/>
    <w:rsid w:val="148200DB"/>
    <w:rsid w:val="14F7697C"/>
    <w:rsid w:val="14F90946"/>
    <w:rsid w:val="15063063"/>
    <w:rsid w:val="15310E7F"/>
    <w:rsid w:val="15542020"/>
    <w:rsid w:val="1556342F"/>
    <w:rsid w:val="155838BF"/>
    <w:rsid w:val="159E329B"/>
    <w:rsid w:val="15CE62EC"/>
    <w:rsid w:val="15E87B95"/>
    <w:rsid w:val="15FC155E"/>
    <w:rsid w:val="16610551"/>
    <w:rsid w:val="16660790"/>
    <w:rsid w:val="16677E51"/>
    <w:rsid w:val="16781D3E"/>
    <w:rsid w:val="16AB5075"/>
    <w:rsid w:val="16D2144F"/>
    <w:rsid w:val="16EF0963"/>
    <w:rsid w:val="172F064F"/>
    <w:rsid w:val="174B2FAF"/>
    <w:rsid w:val="176522C3"/>
    <w:rsid w:val="176A64B2"/>
    <w:rsid w:val="179B3F36"/>
    <w:rsid w:val="179B55AC"/>
    <w:rsid w:val="179D1A5D"/>
    <w:rsid w:val="17D2291F"/>
    <w:rsid w:val="18502F73"/>
    <w:rsid w:val="1869234F"/>
    <w:rsid w:val="188A46F9"/>
    <w:rsid w:val="18A3241D"/>
    <w:rsid w:val="18BA1866"/>
    <w:rsid w:val="18CF1EF8"/>
    <w:rsid w:val="18E90CD1"/>
    <w:rsid w:val="193E7835"/>
    <w:rsid w:val="19487B81"/>
    <w:rsid w:val="194903EC"/>
    <w:rsid w:val="1963561A"/>
    <w:rsid w:val="19A03A86"/>
    <w:rsid w:val="19AA66B3"/>
    <w:rsid w:val="1A0013CC"/>
    <w:rsid w:val="1A072EFE"/>
    <w:rsid w:val="1A1021A2"/>
    <w:rsid w:val="1A241B32"/>
    <w:rsid w:val="1A257B51"/>
    <w:rsid w:val="1A3A54A0"/>
    <w:rsid w:val="1A5310FD"/>
    <w:rsid w:val="1AC551AC"/>
    <w:rsid w:val="1ACD2659"/>
    <w:rsid w:val="1AF57E02"/>
    <w:rsid w:val="1AF916A0"/>
    <w:rsid w:val="1B053365"/>
    <w:rsid w:val="1B122A89"/>
    <w:rsid w:val="1B1330C8"/>
    <w:rsid w:val="1B25679F"/>
    <w:rsid w:val="1B423A9A"/>
    <w:rsid w:val="1B6C176F"/>
    <w:rsid w:val="1B8F5B60"/>
    <w:rsid w:val="1BEB00C4"/>
    <w:rsid w:val="1BF34341"/>
    <w:rsid w:val="1C224C26"/>
    <w:rsid w:val="1C455281"/>
    <w:rsid w:val="1C7134B8"/>
    <w:rsid w:val="1C714D5A"/>
    <w:rsid w:val="1C817B9F"/>
    <w:rsid w:val="1C8534CA"/>
    <w:rsid w:val="1C8C6544"/>
    <w:rsid w:val="1CBF2475"/>
    <w:rsid w:val="1CF662AD"/>
    <w:rsid w:val="1D06698D"/>
    <w:rsid w:val="1D121464"/>
    <w:rsid w:val="1D886D0B"/>
    <w:rsid w:val="1DBE097F"/>
    <w:rsid w:val="1DD55681"/>
    <w:rsid w:val="1E1F1B0C"/>
    <w:rsid w:val="1E4732DA"/>
    <w:rsid w:val="1E474F2A"/>
    <w:rsid w:val="1E4802D9"/>
    <w:rsid w:val="1E5078E5"/>
    <w:rsid w:val="1E7F010E"/>
    <w:rsid w:val="1EB1403F"/>
    <w:rsid w:val="1EC57AEB"/>
    <w:rsid w:val="1ED97BC0"/>
    <w:rsid w:val="1F5841B7"/>
    <w:rsid w:val="1F5F584A"/>
    <w:rsid w:val="1F6F0182"/>
    <w:rsid w:val="1F7C1A71"/>
    <w:rsid w:val="1F8A4FBC"/>
    <w:rsid w:val="1F927BF8"/>
    <w:rsid w:val="1FC80DAE"/>
    <w:rsid w:val="1FD46A2B"/>
    <w:rsid w:val="1FF22B62"/>
    <w:rsid w:val="1FF70178"/>
    <w:rsid w:val="20172C42"/>
    <w:rsid w:val="204D1E18"/>
    <w:rsid w:val="205E01F7"/>
    <w:rsid w:val="206A4539"/>
    <w:rsid w:val="20983709"/>
    <w:rsid w:val="20C4005A"/>
    <w:rsid w:val="20F9606E"/>
    <w:rsid w:val="21596C30"/>
    <w:rsid w:val="217C0935"/>
    <w:rsid w:val="217C6B87"/>
    <w:rsid w:val="21846B04"/>
    <w:rsid w:val="21B53E47"/>
    <w:rsid w:val="21C84491"/>
    <w:rsid w:val="21EE3839"/>
    <w:rsid w:val="21FB4B66"/>
    <w:rsid w:val="22360B43"/>
    <w:rsid w:val="223E6B65"/>
    <w:rsid w:val="22431452"/>
    <w:rsid w:val="224F237C"/>
    <w:rsid w:val="22561186"/>
    <w:rsid w:val="22654970"/>
    <w:rsid w:val="226E2973"/>
    <w:rsid w:val="227930C6"/>
    <w:rsid w:val="22877591"/>
    <w:rsid w:val="22A052A7"/>
    <w:rsid w:val="22BF62D1"/>
    <w:rsid w:val="23543ED1"/>
    <w:rsid w:val="235A0180"/>
    <w:rsid w:val="237D4B16"/>
    <w:rsid w:val="23B4085A"/>
    <w:rsid w:val="23BD1D58"/>
    <w:rsid w:val="23E17175"/>
    <w:rsid w:val="240E4511"/>
    <w:rsid w:val="241466EB"/>
    <w:rsid w:val="24386924"/>
    <w:rsid w:val="245C2C9F"/>
    <w:rsid w:val="2471055B"/>
    <w:rsid w:val="24817454"/>
    <w:rsid w:val="248E3354"/>
    <w:rsid w:val="24A24B56"/>
    <w:rsid w:val="24CF3471"/>
    <w:rsid w:val="24E30CCB"/>
    <w:rsid w:val="24F54706"/>
    <w:rsid w:val="24FA6740"/>
    <w:rsid w:val="256B13EC"/>
    <w:rsid w:val="256C0CC0"/>
    <w:rsid w:val="257B0F03"/>
    <w:rsid w:val="25847E3E"/>
    <w:rsid w:val="25A8355B"/>
    <w:rsid w:val="25D04652"/>
    <w:rsid w:val="25E61B48"/>
    <w:rsid w:val="25F72096"/>
    <w:rsid w:val="26415CA9"/>
    <w:rsid w:val="264834DB"/>
    <w:rsid w:val="2651356A"/>
    <w:rsid w:val="26541E80"/>
    <w:rsid w:val="267C5B25"/>
    <w:rsid w:val="26A12BEB"/>
    <w:rsid w:val="26CD6EB7"/>
    <w:rsid w:val="26FC6074"/>
    <w:rsid w:val="27650552"/>
    <w:rsid w:val="277D71B5"/>
    <w:rsid w:val="278E348C"/>
    <w:rsid w:val="27B34984"/>
    <w:rsid w:val="27B60BA8"/>
    <w:rsid w:val="27C74FFE"/>
    <w:rsid w:val="27CE7A10"/>
    <w:rsid w:val="27D001C3"/>
    <w:rsid w:val="27F63731"/>
    <w:rsid w:val="281C61CB"/>
    <w:rsid w:val="28287EC2"/>
    <w:rsid w:val="283E05A4"/>
    <w:rsid w:val="284564FC"/>
    <w:rsid w:val="28616AD6"/>
    <w:rsid w:val="286755DA"/>
    <w:rsid w:val="289A4067"/>
    <w:rsid w:val="28C87FDC"/>
    <w:rsid w:val="28D21782"/>
    <w:rsid w:val="295E4DC4"/>
    <w:rsid w:val="29656152"/>
    <w:rsid w:val="29A7676B"/>
    <w:rsid w:val="29C8638D"/>
    <w:rsid w:val="29DB4666"/>
    <w:rsid w:val="29FE0929"/>
    <w:rsid w:val="2A0346D9"/>
    <w:rsid w:val="2A187669"/>
    <w:rsid w:val="2A3049B2"/>
    <w:rsid w:val="2A571F3F"/>
    <w:rsid w:val="2A5A37DD"/>
    <w:rsid w:val="2A6060DE"/>
    <w:rsid w:val="2A6C52BE"/>
    <w:rsid w:val="2A866380"/>
    <w:rsid w:val="2A9D36CA"/>
    <w:rsid w:val="2ADC2AD5"/>
    <w:rsid w:val="2B471FB3"/>
    <w:rsid w:val="2B481888"/>
    <w:rsid w:val="2B4D3342"/>
    <w:rsid w:val="2B606BD1"/>
    <w:rsid w:val="2B73247C"/>
    <w:rsid w:val="2B794137"/>
    <w:rsid w:val="2B7F3677"/>
    <w:rsid w:val="2BDE731D"/>
    <w:rsid w:val="2BF65788"/>
    <w:rsid w:val="2C11436F"/>
    <w:rsid w:val="2C114F37"/>
    <w:rsid w:val="2C1866E8"/>
    <w:rsid w:val="2C2E4F21"/>
    <w:rsid w:val="2C583417"/>
    <w:rsid w:val="2C767028"/>
    <w:rsid w:val="2CA82E69"/>
    <w:rsid w:val="2CBE44F7"/>
    <w:rsid w:val="2CCB6C14"/>
    <w:rsid w:val="2CF577ED"/>
    <w:rsid w:val="2CF972DD"/>
    <w:rsid w:val="2D0619FA"/>
    <w:rsid w:val="2D106179"/>
    <w:rsid w:val="2D661DF9"/>
    <w:rsid w:val="2D7921CC"/>
    <w:rsid w:val="2DAF5BEE"/>
    <w:rsid w:val="2DB66F7C"/>
    <w:rsid w:val="2DDD275B"/>
    <w:rsid w:val="2E0C2400"/>
    <w:rsid w:val="2E1F0FC6"/>
    <w:rsid w:val="2E385B19"/>
    <w:rsid w:val="2E7F1A64"/>
    <w:rsid w:val="2E8250B1"/>
    <w:rsid w:val="2EAF6E60"/>
    <w:rsid w:val="2ECD0A22"/>
    <w:rsid w:val="2ED37354"/>
    <w:rsid w:val="2EEB0EA8"/>
    <w:rsid w:val="2F2F348A"/>
    <w:rsid w:val="2F491C35"/>
    <w:rsid w:val="2F4A2072"/>
    <w:rsid w:val="2F544C9F"/>
    <w:rsid w:val="2F6A44C2"/>
    <w:rsid w:val="2F866C50"/>
    <w:rsid w:val="2FB27C17"/>
    <w:rsid w:val="2FD33A7D"/>
    <w:rsid w:val="2FD44032"/>
    <w:rsid w:val="2FE36023"/>
    <w:rsid w:val="2FEA4DD7"/>
    <w:rsid w:val="2FEC4ED7"/>
    <w:rsid w:val="301E705B"/>
    <w:rsid w:val="303D3985"/>
    <w:rsid w:val="30607673"/>
    <w:rsid w:val="307849BD"/>
    <w:rsid w:val="308C2DD7"/>
    <w:rsid w:val="30A13F14"/>
    <w:rsid w:val="30C95219"/>
    <w:rsid w:val="30D95072"/>
    <w:rsid w:val="31097D0B"/>
    <w:rsid w:val="310E7643"/>
    <w:rsid w:val="31102E48"/>
    <w:rsid w:val="312F7772"/>
    <w:rsid w:val="313A6116"/>
    <w:rsid w:val="31442AF1"/>
    <w:rsid w:val="31A01A14"/>
    <w:rsid w:val="31A812D2"/>
    <w:rsid w:val="31AB2B70"/>
    <w:rsid w:val="31DF39D8"/>
    <w:rsid w:val="31F05461"/>
    <w:rsid w:val="31F84007"/>
    <w:rsid w:val="31FA708B"/>
    <w:rsid w:val="320A6B83"/>
    <w:rsid w:val="3251196A"/>
    <w:rsid w:val="325968C3"/>
    <w:rsid w:val="326367AE"/>
    <w:rsid w:val="32684FC7"/>
    <w:rsid w:val="327E36FD"/>
    <w:rsid w:val="329F1816"/>
    <w:rsid w:val="32DF0B60"/>
    <w:rsid w:val="32ED11E0"/>
    <w:rsid w:val="33242BDA"/>
    <w:rsid w:val="33504641"/>
    <w:rsid w:val="3355325F"/>
    <w:rsid w:val="33936375"/>
    <w:rsid w:val="33A53D1B"/>
    <w:rsid w:val="33B40ED5"/>
    <w:rsid w:val="33B71CA0"/>
    <w:rsid w:val="33BC72B7"/>
    <w:rsid w:val="33D75E9F"/>
    <w:rsid w:val="340447E5"/>
    <w:rsid w:val="34261C37"/>
    <w:rsid w:val="342C2EB9"/>
    <w:rsid w:val="345E40D5"/>
    <w:rsid w:val="34A261A8"/>
    <w:rsid w:val="354237EC"/>
    <w:rsid w:val="354C78F6"/>
    <w:rsid w:val="357C0AAC"/>
    <w:rsid w:val="3596600B"/>
    <w:rsid w:val="35C16E06"/>
    <w:rsid w:val="36307EA1"/>
    <w:rsid w:val="36317AE8"/>
    <w:rsid w:val="365245F7"/>
    <w:rsid w:val="366343C1"/>
    <w:rsid w:val="367F00A1"/>
    <w:rsid w:val="36A2093B"/>
    <w:rsid w:val="36EF0B47"/>
    <w:rsid w:val="37180CA8"/>
    <w:rsid w:val="373D0549"/>
    <w:rsid w:val="3768195A"/>
    <w:rsid w:val="37705D69"/>
    <w:rsid w:val="37B330F2"/>
    <w:rsid w:val="37D51D27"/>
    <w:rsid w:val="37D921E5"/>
    <w:rsid w:val="37E307C2"/>
    <w:rsid w:val="38037262"/>
    <w:rsid w:val="38116597"/>
    <w:rsid w:val="38404012"/>
    <w:rsid w:val="385A6B6D"/>
    <w:rsid w:val="385B6BC0"/>
    <w:rsid w:val="385C6972"/>
    <w:rsid w:val="38A10829"/>
    <w:rsid w:val="38A50319"/>
    <w:rsid w:val="38AA53DE"/>
    <w:rsid w:val="38BB5D8F"/>
    <w:rsid w:val="38D34E86"/>
    <w:rsid w:val="38F82706"/>
    <w:rsid w:val="3914724D"/>
    <w:rsid w:val="391D01EC"/>
    <w:rsid w:val="3928256C"/>
    <w:rsid w:val="392D52D8"/>
    <w:rsid w:val="393022D9"/>
    <w:rsid w:val="3934169D"/>
    <w:rsid w:val="396D4762"/>
    <w:rsid w:val="39761CB6"/>
    <w:rsid w:val="39C015C7"/>
    <w:rsid w:val="39CD7A82"/>
    <w:rsid w:val="39F350B4"/>
    <w:rsid w:val="3A2D5123"/>
    <w:rsid w:val="3A622985"/>
    <w:rsid w:val="3A8B3875"/>
    <w:rsid w:val="3AE3337B"/>
    <w:rsid w:val="3AF344D3"/>
    <w:rsid w:val="3B3E1343"/>
    <w:rsid w:val="3B41547B"/>
    <w:rsid w:val="3B471D76"/>
    <w:rsid w:val="3B693880"/>
    <w:rsid w:val="3B7901A8"/>
    <w:rsid w:val="3B824942"/>
    <w:rsid w:val="3B8B2D9A"/>
    <w:rsid w:val="3BB6698B"/>
    <w:rsid w:val="3BE473AB"/>
    <w:rsid w:val="3BF21AC7"/>
    <w:rsid w:val="3BFA097C"/>
    <w:rsid w:val="3C312387"/>
    <w:rsid w:val="3C460065"/>
    <w:rsid w:val="3C6E7640"/>
    <w:rsid w:val="3C7249B6"/>
    <w:rsid w:val="3C9F056F"/>
    <w:rsid w:val="3CB274A9"/>
    <w:rsid w:val="3CDB69FF"/>
    <w:rsid w:val="3CE570AA"/>
    <w:rsid w:val="3D1C0945"/>
    <w:rsid w:val="3D1D45E5"/>
    <w:rsid w:val="3D2058FF"/>
    <w:rsid w:val="3D216C93"/>
    <w:rsid w:val="3D251A29"/>
    <w:rsid w:val="3D4C7255"/>
    <w:rsid w:val="3D6A54CD"/>
    <w:rsid w:val="3D7529B0"/>
    <w:rsid w:val="3D786DEA"/>
    <w:rsid w:val="3DBD078F"/>
    <w:rsid w:val="3DD30D42"/>
    <w:rsid w:val="3DF8713D"/>
    <w:rsid w:val="3E2B12C1"/>
    <w:rsid w:val="3EB2553E"/>
    <w:rsid w:val="3EC47A46"/>
    <w:rsid w:val="3F6A5850"/>
    <w:rsid w:val="3F6C393F"/>
    <w:rsid w:val="3FB157F6"/>
    <w:rsid w:val="3FFE7433"/>
    <w:rsid w:val="400565EF"/>
    <w:rsid w:val="40183ABC"/>
    <w:rsid w:val="40196BA7"/>
    <w:rsid w:val="40354679"/>
    <w:rsid w:val="40477680"/>
    <w:rsid w:val="40970E8F"/>
    <w:rsid w:val="409F1AF2"/>
    <w:rsid w:val="40C370AD"/>
    <w:rsid w:val="40C559FD"/>
    <w:rsid w:val="40D30A52"/>
    <w:rsid w:val="41083B3B"/>
    <w:rsid w:val="41586871"/>
    <w:rsid w:val="415D09FF"/>
    <w:rsid w:val="41773289"/>
    <w:rsid w:val="4186018E"/>
    <w:rsid w:val="4186401E"/>
    <w:rsid w:val="41D44BAC"/>
    <w:rsid w:val="41DE664A"/>
    <w:rsid w:val="425D3A13"/>
    <w:rsid w:val="427279A6"/>
    <w:rsid w:val="42987C62"/>
    <w:rsid w:val="42CD0B98"/>
    <w:rsid w:val="42E43122"/>
    <w:rsid w:val="43104F29"/>
    <w:rsid w:val="431C468F"/>
    <w:rsid w:val="435C016E"/>
    <w:rsid w:val="437B05F4"/>
    <w:rsid w:val="43893998"/>
    <w:rsid w:val="43A46641"/>
    <w:rsid w:val="43B34232"/>
    <w:rsid w:val="44175AA9"/>
    <w:rsid w:val="443E508E"/>
    <w:rsid w:val="4447497A"/>
    <w:rsid w:val="448412FE"/>
    <w:rsid w:val="44A376EA"/>
    <w:rsid w:val="44B14387"/>
    <w:rsid w:val="44C94084"/>
    <w:rsid w:val="44CC4B26"/>
    <w:rsid w:val="44D66663"/>
    <w:rsid w:val="44DA759D"/>
    <w:rsid w:val="44F06DC0"/>
    <w:rsid w:val="45196317"/>
    <w:rsid w:val="452F78E8"/>
    <w:rsid w:val="454315E6"/>
    <w:rsid w:val="45464C32"/>
    <w:rsid w:val="455A06DD"/>
    <w:rsid w:val="455E3D2A"/>
    <w:rsid w:val="458B721E"/>
    <w:rsid w:val="45BD7463"/>
    <w:rsid w:val="46024FFD"/>
    <w:rsid w:val="46172739"/>
    <w:rsid w:val="462A1E44"/>
    <w:rsid w:val="465771BB"/>
    <w:rsid w:val="47282841"/>
    <w:rsid w:val="472B360C"/>
    <w:rsid w:val="473531B0"/>
    <w:rsid w:val="47382DED"/>
    <w:rsid w:val="473F667B"/>
    <w:rsid w:val="475B5C75"/>
    <w:rsid w:val="476442E9"/>
    <w:rsid w:val="47794FE9"/>
    <w:rsid w:val="477B55B4"/>
    <w:rsid w:val="47C54534"/>
    <w:rsid w:val="47C562E2"/>
    <w:rsid w:val="47CA56A6"/>
    <w:rsid w:val="47CB7671"/>
    <w:rsid w:val="47D44777"/>
    <w:rsid w:val="47DD4EB6"/>
    <w:rsid w:val="48244C25"/>
    <w:rsid w:val="48382D9B"/>
    <w:rsid w:val="486B6719"/>
    <w:rsid w:val="487E7C9A"/>
    <w:rsid w:val="48855A71"/>
    <w:rsid w:val="48895562"/>
    <w:rsid w:val="489857A5"/>
    <w:rsid w:val="48AE7101"/>
    <w:rsid w:val="48C540C0"/>
    <w:rsid w:val="48E94232"/>
    <w:rsid w:val="49033566"/>
    <w:rsid w:val="490A667F"/>
    <w:rsid w:val="492A5691"/>
    <w:rsid w:val="492B03C7"/>
    <w:rsid w:val="49A60395"/>
    <w:rsid w:val="49AD1845"/>
    <w:rsid w:val="49F76403"/>
    <w:rsid w:val="4A0808CC"/>
    <w:rsid w:val="4A5D02A3"/>
    <w:rsid w:val="4A9E3F3D"/>
    <w:rsid w:val="4AA76173"/>
    <w:rsid w:val="4ADD1B95"/>
    <w:rsid w:val="4B1B26BD"/>
    <w:rsid w:val="4B4C5AE3"/>
    <w:rsid w:val="4B4F6082"/>
    <w:rsid w:val="4B647BC0"/>
    <w:rsid w:val="4B8455E6"/>
    <w:rsid w:val="4B880564"/>
    <w:rsid w:val="4B895879"/>
    <w:rsid w:val="4BC93EC7"/>
    <w:rsid w:val="4BFB3452"/>
    <w:rsid w:val="4C3163FE"/>
    <w:rsid w:val="4C99508D"/>
    <w:rsid w:val="4C9E35A6"/>
    <w:rsid w:val="4CCD1C49"/>
    <w:rsid w:val="4CEA746D"/>
    <w:rsid w:val="4CF35113"/>
    <w:rsid w:val="4CF85B38"/>
    <w:rsid w:val="4D323BF8"/>
    <w:rsid w:val="4D422183"/>
    <w:rsid w:val="4D531123"/>
    <w:rsid w:val="4D5A6B3E"/>
    <w:rsid w:val="4D9745D4"/>
    <w:rsid w:val="4DA44BEC"/>
    <w:rsid w:val="4DBF37D4"/>
    <w:rsid w:val="4DD74FC1"/>
    <w:rsid w:val="4DE4148C"/>
    <w:rsid w:val="4DE82D2A"/>
    <w:rsid w:val="4DE92E1E"/>
    <w:rsid w:val="4DF25957"/>
    <w:rsid w:val="4E0138F3"/>
    <w:rsid w:val="4E141264"/>
    <w:rsid w:val="4E296E9F"/>
    <w:rsid w:val="4E447BD5"/>
    <w:rsid w:val="4E6276BA"/>
    <w:rsid w:val="4E712D20"/>
    <w:rsid w:val="4E8503C4"/>
    <w:rsid w:val="4EB72AB4"/>
    <w:rsid w:val="4EB84CF7"/>
    <w:rsid w:val="4EBF0AC0"/>
    <w:rsid w:val="4EE71234"/>
    <w:rsid w:val="4F111E0D"/>
    <w:rsid w:val="4F732AC8"/>
    <w:rsid w:val="4FA2515B"/>
    <w:rsid w:val="4FB06006"/>
    <w:rsid w:val="4FCE41A2"/>
    <w:rsid w:val="4FD16CA0"/>
    <w:rsid w:val="4FEB4D54"/>
    <w:rsid w:val="4FF05EC6"/>
    <w:rsid w:val="500E5380"/>
    <w:rsid w:val="50285660"/>
    <w:rsid w:val="50321F15"/>
    <w:rsid w:val="50597F0F"/>
    <w:rsid w:val="509871FE"/>
    <w:rsid w:val="50C03AEB"/>
    <w:rsid w:val="50C25C82"/>
    <w:rsid w:val="50CF01D2"/>
    <w:rsid w:val="50E85CD7"/>
    <w:rsid w:val="50ED2406"/>
    <w:rsid w:val="510559A1"/>
    <w:rsid w:val="510C31D4"/>
    <w:rsid w:val="51273B6A"/>
    <w:rsid w:val="5129101D"/>
    <w:rsid w:val="516F5F6F"/>
    <w:rsid w:val="519A258E"/>
    <w:rsid w:val="52100222"/>
    <w:rsid w:val="52487A94"/>
    <w:rsid w:val="527A416D"/>
    <w:rsid w:val="52A5743C"/>
    <w:rsid w:val="52A64F62"/>
    <w:rsid w:val="52A93684"/>
    <w:rsid w:val="52CC2975"/>
    <w:rsid w:val="52E5065C"/>
    <w:rsid w:val="531479F2"/>
    <w:rsid w:val="53283188"/>
    <w:rsid w:val="53395D3D"/>
    <w:rsid w:val="53650979"/>
    <w:rsid w:val="536C5339"/>
    <w:rsid w:val="5389507F"/>
    <w:rsid w:val="538D0FC6"/>
    <w:rsid w:val="53D8739D"/>
    <w:rsid w:val="53FA4A38"/>
    <w:rsid w:val="540463E4"/>
    <w:rsid w:val="5411465D"/>
    <w:rsid w:val="54183C3E"/>
    <w:rsid w:val="544D45DB"/>
    <w:rsid w:val="54945667"/>
    <w:rsid w:val="54A35BFD"/>
    <w:rsid w:val="54E83610"/>
    <w:rsid w:val="550550A4"/>
    <w:rsid w:val="55063817"/>
    <w:rsid w:val="551E5284"/>
    <w:rsid w:val="55432F3C"/>
    <w:rsid w:val="55447A97"/>
    <w:rsid w:val="559317CE"/>
    <w:rsid w:val="55D613B7"/>
    <w:rsid w:val="55E42029"/>
    <w:rsid w:val="55F92779"/>
    <w:rsid w:val="56194536"/>
    <w:rsid w:val="56292132"/>
    <w:rsid w:val="56310FE7"/>
    <w:rsid w:val="56501A68"/>
    <w:rsid w:val="56701B0F"/>
    <w:rsid w:val="56B55E3A"/>
    <w:rsid w:val="56D57BC4"/>
    <w:rsid w:val="56E147BB"/>
    <w:rsid w:val="56EF6ED8"/>
    <w:rsid w:val="57144B90"/>
    <w:rsid w:val="573E39BB"/>
    <w:rsid w:val="5784358B"/>
    <w:rsid w:val="578515EA"/>
    <w:rsid w:val="57A75A04"/>
    <w:rsid w:val="57C17D9D"/>
    <w:rsid w:val="57D41FD7"/>
    <w:rsid w:val="57DE7DF4"/>
    <w:rsid w:val="58006EC2"/>
    <w:rsid w:val="583354EA"/>
    <w:rsid w:val="58367D5C"/>
    <w:rsid w:val="584C035A"/>
    <w:rsid w:val="58512883"/>
    <w:rsid w:val="58737543"/>
    <w:rsid w:val="587C13DB"/>
    <w:rsid w:val="58905D11"/>
    <w:rsid w:val="58B8154B"/>
    <w:rsid w:val="58CF531E"/>
    <w:rsid w:val="58E40592"/>
    <w:rsid w:val="591C2B26"/>
    <w:rsid w:val="592B61C1"/>
    <w:rsid w:val="593E0BA8"/>
    <w:rsid w:val="594F3C5E"/>
    <w:rsid w:val="59554FEC"/>
    <w:rsid w:val="59594FC9"/>
    <w:rsid w:val="595F19AF"/>
    <w:rsid w:val="597C40AB"/>
    <w:rsid w:val="599718C6"/>
    <w:rsid w:val="59D96341"/>
    <w:rsid w:val="5A166E71"/>
    <w:rsid w:val="5A1804F3"/>
    <w:rsid w:val="5A8868CB"/>
    <w:rsid w:val="5A97639B"/>
    <w:rsid w:val="5AA24261"/>
    <w:rsid w:val="5AA61F1F"/>
    <w:rsid w:val="5AAE43FA"/>
    <w:rsid w:val="5AB02F1D"/>
    <w:rsid w:val="5AE623A0"/>
    <w:rsid w:val="5B006537"/>
    <w:rsid w:val="5B0B0058"/>
    <w:rsid w:val="5B165FC1"/>
    <w:rsid w:val="5B327BC5"/>
    <w:rsid w:val="5B4D0671"/>
    <w:rsid w:val="5B7200D7"/>
    <w:rsid w:val="5B862AB5"/>
    <w:rsid w:val="5B96072A"/>
    <w:rsid w:val="5BB701E0"/>
    <w:rsid w:val="5BE32D83"/>
    <w:rsid w:val="5BEA4111"/>
    <w:rsid w:val="5BEF797A"/>
    <w:rsid w:val="5BF544A4"/>
    <w:rsid w:val="5BFF2825"/>
    <w:rsid w:val="5C270767"/>
    <w:rsid w:val="5C936557"/>
    <w:rsid w:val="5CAA6074"/>
    <w:rsid w:val="5CC70745"/>
    <w:rsid w:val="5CD36400"/>
    <w:rsid w:val="5CD728E8"/>
    <w:rsid w:val="5D334D25"/>
    <w:rsid w:val="5DBD47D0"/>
    <w:rsid w:val="5DC0337C"/>
    <w:rsid w:val="5DD837BB"/>
    <w:rsid w:val="5E046DCA"/>
    <w:rsid w:val="5E4E4E2C"/>
    <w:rsid w:val="5E6A778C"/>
    <w:rsid w:val="5E806B9E"/>
    <w:rsid w:val="5E8675AE"/>
    <w:rsid w:val="5E8F3E20"/>
    <w:rsid w:val="5EE74938"/>
    <w:rsid w:val="5EF14839"/>
    <w:rsid w:val="5F021772"/>
    <w:rsid w:val="5F0D0843"/>
    <w:rsid w:val="5F2D2C93"/>
    <w:rsid w:val="5F385194"/>
    <w:rsid w:val="5F38708D"/>
    <w:rsid w:val="5F7C7776"/>
    <w:rsid w:val="5F8A1E93"/>
    <w:rsid w:val="5F9F23BB"/>
    <w:rsid w:val="5FAD385F"/>
    <w:rsid w:val="5FCA6E80"/>
    <w:rsid w:val="5FE86BBA"/>
    <w:rsid w:val="5FEB43F8"/>
    <w:rsid w:val="60017C7C"/>
    <w:rsid w:val="6005151A"/>
    <w:rsid w:val="6005776C"/>
    <w:rsid w:val="60116A40"/>
    <w:rsid w:val="60541ED0"/>
    <w:rsid w:val="6081021A"/>
    <w:rsid w:val="608B78A4"/>
    <w:rsid w:val="60D333C6"/>
    <w:rsid w:val="60DA29A7"/>
    <w:rsid w:val="60E167FE"/>
    <w:rsid w:val="610E2650"/>
    <w:rsid w:val="611559D1"/>
    <w:rsid w:val="612E2CF2"/>
    <w:rsid w:val="613C71BD"/>
    <w:rsid w:val="614726F4"/>
    <w:rsid w:val="61772B1C"/>
    <w:rsid w:val="61802F89"/>
    <w:rsid w:val="61A055CD"/>
    <w:rsid w:val="61B34FA6"/>
    <w:rsid w:val="61DC1266"/>
    <w:rsid w:val="61F77588"/>
    <w:rsid w:val="61FF22E9"/>
    <w:rsid w:val="62136A76"/>
    <w:rsid w:val="626A5FAC"/>
    <w:rsid w:val="62AC2121"/>
    <w:rsid w:val="62B17737"/>
    <w:rsid w:val="62B92EB0"/>
    <w:rsid w:val="62F939DB"/>
    <w:rsid w:val="630C71D2"/>
    <w:rsid w:val="6311467A"/>
    <w:rsid w:val="63147CC6"/>
    <w:rsid w:val="631B72A6"/>
    <w:rsid w:val="63501125"/>
    <w:rsid w:val="636724EC"/>
    <w:rsid w:val="639B4DE1"/>
    <w:rsid w:val="63AF5CF4"/>
    <w:rsid w:val="63C4349A"/>
    <w:rsid w:val="63C44569"/>
    <w:rsid w:val="64340C50"/>
    <w:rsid w:val="645C1924"/>
    <w:rsid w:val="648D5F82"/>
    <w:rsid w:val="64A5365B"/>
    <w:rsid w:val="64A62BA0"/>
    <w:rsid w:val="64E822D1"/>
    <w:rsid w:val="652E5E23"/>
    <w:rsid w:val="653A1C66"/>
    <w:rsid w:val="656A1E1F"/>
    <w:rsid w:val="657E56A8"/>
    <w:rsid w:val="65811046"/>
    <w:rsid w:val="65B71DA7"/>
    <w:rsid w:val="65BB36B2"/>
    <w:rsid w:val="65D15EBA"/>
    <w:rsid w:val="65E566CA"/>
    <w:rsid w:val="660758C0"/>
    <w:rsid w:val="66430FEE"/>
    <w:rsid w:val="66A14653"/>
    <w:rsid w:val="66A95D51"/>
    <w:rsid w:val="66F56DDA"/>
    <w:rsid w:val="66F75549"/>
    <w:rsid w:val="674548F2"/>
    <w:rsid w:val="674C7A2E"/>
    <w:rsid w:val="675074C6"/>
    <w:rsid w:val="67746F85"/>
    <w:rsid w:val="67D569F9"/>
    <w:rsid w:val="67DB7004"/>
    <w:rsid w:val="67E22141"/>
    <w:rsid w:val="67E45A28"/>
    <w:rsid w:val="682664D1"/>
    <w:rsid w:val="682E2327"/>
    <w:rsid w:val="68330BEE"/>
    <w:rsid w:val="68437C84"/>
    <w:rsid w:val="68487C9B"/>
    <w:rsid w:val="6897117D"/>
    <w:rsid w:val="68AA575F"/>
    <w:rsid w:val="68AB4C28"/>
    <w:rsid w:val="68D423D1"/>
    <w:rsid w:val="69670B4F"/>
    <w:rsid w:val="69845BA5"/>
    <w:rsid w:val="699A01AD"/>
    <w:rsid w:val="69E14DA6"/>
    <w:rsid w:val="69E623BC"/>
    <w:rsid w:val="6A1C4030"/>
    <w:rsid w:val="6A1F120D"/>
    <w:rsid w:val="6A38073E"/>
    <w:rsid w:val="6A6E4354"/>
    <w:rsid w:val="6A6E7179"/>
    <w:rsid w:val="6A7F25E4"/>
    <w:rsid w:val="6AB47889"/>
    <w:rsid w:val="6B014FD4"/>
    <w:rsid w:val="6B2018FE"/>
    <w:rsid w:val="6B256F14"/>
    <w:rsid w:val="6B7E02AB"/>
    <w:rsid w:val="6B8C260F"/>
    <w:rsid w:val="6B9B122F"/>
    <w:rsid w:val="6BA8544F"/>
    <w:rsid w:val="6BF36D52"/>
    <w:rsid w:val="6C0A3B2A"/>
    <w:rsid w:val="6C283D9C"/>
    <w:rsid w:val="6C30791F"/>
    <w:rsid w:val="6CDC4C78"/>
    <w:rsid w:val="6D5E670D"/>
    <w:rsid w:val="6D6E165D"/>
    <w:rsid w:val="6D721930"/>
    <w:rsid w:val="6DA5433C"/>
    <w:rsid w:val="6DE94229"/>
    <w:rsid w:val="6DF3205E"/>
    <w:rsid w:val="6E080427"/>
    <w:rsid w:val="6E193E99"/>
    <w:rsid w:val="6E201C15"/>
    <w:rsid w:val="6E5B33AA"/>
    <w:rsid w:val="6E8B1784"/>
    <w:rsid w:val="6EF035FA"/>
    <w:rsid w:val="6F0E0AD3"/>
    <w:rsid w:val="6F3B4F58"/>
    <w:rsid w:val="6F6D52C6"/>
    <w:rsid w:val="6F7F4719"/>
    <w:rsid w:val="6F88014D"/>
    <w:rsid w:val="6FA56875"/>
    <w:rsid w:val="6FA7439C"/>
    <w:rsid w:val="6FB6638D"/>
    <w:rsid w:val="6FC7059A"/>
    <w:rsid w:val="70133EFF"/>
    <w:rsid w:val="70186935"/>
    <w:rsid w:val="702E51A7"/>
    <w:rsid w:val="703106AC"/>
    <w:rsid w:val="703F5287"/>
    <w:rsid w:val="7055204A"/>
    <w:rsid w:val="7089114E"/>
    <w:rsid w:val="708E10B8"/>
    <w:rsid w:val="70C525FF"/>
    <w:rsid w:val="70F62AE7"/>
    <w:rsid w:val="71125588"/>
    <w:rsid w:val="71194F85"/>
    <w:rsid w:val="71900E5F"/>
    <w:rsid w:val="719941B8"/>
    <w:rsid w:val="71D11EF6"/>
    <w:rsid w:val="71D376CA"/>
    <w:rsid w:val="71F748B4"/>
    <w:rsid w:val="72051BEB"/>
    <w:rsid w:val="722466EB"/>
    <w:rsid w:val="72255A4C"/>
    <w:rsid w:val="72404633"/>
    <w:rsid w:val="726532E8"/>
    <w:rsid w:val="72895FDA"/>
    <w:rsid w:val="728B36FD"/>
    <w:rsid w:val="72907369"/>
    <w:rsid w:val="72BC2977"/>
    <w:rsid w:val="72DF7F5B"/>
    <w:rsid w:val="7322589D"/>
    <w:rsid w:val="733028FA"/>
    <w:rsid w:val="73414800"/>
    <w:rsid w:val="73644D3D"/>
    <w:rsid w:val="738E2770"/>
    <w:rsid w:val="73907D6F"/>
    <w:rsid w:val="73F853A0"/>
    <w:rsid w:val="740F07DF"/>
    <w:rsid w:val="741B0EB4"/>
    <w:rsid w:val="742A26B8"/>
    <w:rsid w:val="744D3038"/>
    <w:rsid w:val="747D56CB"/>
    <w:rsid w:val="74842EFD"/>
    <w:rsid w:val="74C25370"/>
    <w:rsid w:val="74E41BEE"/>
    <w:rsid w:val="74F9687D"/>
    <w:rsid w:val="752913AF"/>
    <w:rsid w:val="752C6049"/>
    <w:rsid w:val="75A1188D"/>
    <w:rsid w:val="75A803CA"/>
    <w:rsid w:val="75AA70AC"/>
    <w:rsid w:val="75CC2278"/>
    <w:rsid w:val="75F358C5"/>
    <w:rsid w:val="75FC1626"/>
    <w:rsid w:val="76033145"/>
    <w:rsid w:val="76037E52"/>
    <w:rsid w:val="760F48F9"/>
    <w:rsid w:val="761107C1"/>
    <w:rsid w:val="76336B58"/>
    <w:rsid w:val="76546DFE"/>
    <w:rsid w:val="76575F6F"/>
    <w:rsid w:val="76AF1D88"/>
    <w:rsid w:val="76CD07A5"/>
    <w:rsid w:val="76F542C5"/>
    <w:rsid w:val="770C3AF4"/>
    <w:rsid w:val="771E243C"/>
    <w:rsid w:val="77562203"/>
    <w:rsid w:val="777D20F3"/>
    <w:rsid w:val="77870867"/>
    <w:rsid w:val="77C74EAF"/>
    <w:rsid w:val="77C8506D"/>
    <w:rsid w:val="77D34BC7"/>
    <w:rsid w:val="7802269B"/>
    <w:rsid w:val="780E628B"/>
    <w:rsid w:val="7817792C"/>
    <w:rsid w:val="786C3726"/>
    <w:rsid w:val="787349D2"/>
    <w:rsid w:val="78AA6CAB"/>
    <w:rsid w:val="78AD0549"/>
    <w:rsid w:val="78AD6A33"/>
    <w:rsid w:val="78B73F82"/>
    <w:rsid w:val="78BD078C"/>
    <w:rsid w:val="78C37D6C"/>
    <w:rsid w:val="78DA7590"/>
    <w:rsid w:val="790463BB"/>
    <w:rsid w:val="79282F78"/>
    <w:rsid w:val="794123FC"/>
    <w:rsid w:val="79436A50"/>
    <w:rsid w:val="795F687F"/>
    <w:rsid w:val="797665B4"/>
    <w:rsid w:val="797C629C"/>
    <w:rsid w:val="798E49ED"/>
    <w:rsid w:val="79AE5211"/>
    <w:rsid w:val="79BA2F1D"/>
    <w:rsid w:val="79D51B05"/>
    <w:rsid w:val="7A136C1A"/>
    <w:rsid w:val="7A637111"/>
    <w:rsid w:val="7ABF1BAB"/>
    <w:rsid w:val="7AD26045"/>
    <w:rsid w:val="7AE05C82"/>
    <w:rsid w:val="7AF67F85"/>
    <w:rsid w:val="7B01196F"/>
    <w:rsid w:val="7B0F7299"/>
    <w:rsid w:val="7B1A4F1B"/>
    <w:rsid w:val="7B2A5E81"/>
    <w:rsid w:val="7B6018A2"/>
    <w:rsid w:val="7B6F1AE6"/>
    <w:rsid w:val="7B772214"/>
    <w:rsid w:val="7B851FE7"/>
    <w:rsid w:val="7BA3310C"/>
    <w:rsid w:val="7BB0282A"/>
    <w:rsid w:val="7BD03933"/>
    <w:rsid w:val="7BE16CE4"/>
    <w:rsid w:val="7BF92411"/>
    <w:rsid w:val="7C077F70"/>
    <w:rsid w:val="7C3A0345"/>
    <w:rsid w:val="7C4D62CB"/>
    <w:rsid w:val="7C686C61"/>
    <w:rsid w:val="7C727ADF"/>
    <w:rsid w:val="7C8E41ED"/>
    <w:rsid w:val="7CB124F5"/>
    <w:rsid w:val="7CC77E2B"/>
    <w:rsid w:val="7CD662C0"/>
    <w:rsid w:val="7D014DAE"/>
    <w:rsid w:val="7D2E7EAA"/>
    <w:rsid w:val="7D506EB5"/>
    <w:rsid w:val="7D562F5D"/>
    <w:rsid w:val="7D6A7EF0"/>
    <w:rsid w:val="7D99109C"/>
    <w:rsid w:val="7DC73E5B"/>
    <w:rsid w:val="7E1252CE"/>
    <w:rsid w:val="7E5543CA"/>
    <w:rsid w:val="7E5A6A7D"/>
    <w:rsid w:val="7E7933A7"/>
    <w:rsid w:val="7E81400A"/>
    <w:rsid w:val="7E927FC5"/>
    <w:rsid w:val="7E9B156F"/>
    <w:rsid w:val="7ED607F9"/>
    <w:rsid w:val="7EFE565A"/>
    <w:rsid w:val="7F1C716D"/>
    <w:rsid w:val="7F363046"/>
    <w:rsid w:val="7F413799"/>
    <w:rsid w:val="7F5564FC"/>
    <w:rsid w:val="7F6A0F42"/>
    <w:rsid w:val="7F7040DF"/>
    <w:rsid w:val="7F912972"/>
    <w:rsid w:val="7F9B559F"/>
    <w:rsid w:val="7FAB20C8"/>
    <w:rsid w:val="7FE26D2A"/>
  </w:rsids>
  <m:mathPr>
    <m:mathFont m:val="Cambria Math"/>
    <m:brkBin m:val="before"/>
    <m:brkBinSub m:val="--"/>
    <m:smallFrac m:val="1"/>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4">
    <w:name w:val="heading 1"/>
    <w:basedOn w:val="1"/>
    <w:next w:val="1"/>
    <w:link w:val="29"/>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420" w:firstLineChars="200"/>
    </w:pPr>
  </w:style>
  <w:style w:type="paragraph" w:styleId="3">
    <w:name w:val="Body Text Indent"/>
    <w:basedOn w:val="1"/>
    <w:qFormat/>
    <w:uiPriority w:val="0"/>
    <w:pPr>
      <w:spacing w:after="120"/>
      <w:ind w:left="420" w:leftChars="200"/>
    </w:pPr>
  </w:style>
  <w:style w:type="paragraph" w:styleId="5">
    <w:name w:val="Document Map"/>
    <w:basedOn w:val="1"/>
    <w:link w:val="27"/>
    <w:unhideWhenUsed/>
    <w:qFormat/>
    <w:uiPriority w:val="99"/>
    <w:rPr>
      <w:rFonts w:ascii="宋体"/>
      <w:sz w:val="18"/>
      <w:szCs w:val="18"/>
    </w:rPr>
  </w:style>
  <w:style w:type="paragraph" w:styleId="6">
    <w:name w:val="annotation text"/>
    <w:basedOn w:val="1"/>
    <w:link w:val="25"/>
    <w:autoRedefine/>
    <w:unhideWhenUsed/>
    <w:qFormat/>
    <w:uiPriority w:val="0"/>
    <w:pPr>
      <w:jc w:val="left"/>
    </w:pPr>
  </w:style>
  <w:style w:type="paragraph" w:styleId="7">
    <w:name w:val="Plain Text"/>
    <w:basedOn w:val="1"/>
    <w:link w:val="22"/>
    <w:qFormat/>
    <w:uiPriority w:val="0"/>
    <w:pPr>
      <w:adjustRightInd w:val="0"/>
      <w:spacing w:line="312" w:lineRule="atLeast"/>
      <w:textAlignment w:val="baseline"/>
    </w:pPr>
    <w:rPr>
      <w:rFonts w:ascii="宋体" w:hAnsi="Courier New"/>
      <w:kern w:val="0"/>
      <w:sz w:val="21"/>
      <w:szCs w:val="20"/>
    </w:rPr>
  </w:style>
  <w:style w:type="paragraph" w:styleId="8">
    <w:name w:val="Date"/>
    <w:basedOn w:val="1"/>
    <w:next w:val="1"/>
    <w:link w:val="33"/>
    <w:unhideWhenUsed/>
    <w:qFormat/>
    <w:uiPriority w:val="0"/>
    <w:pPr>
      <w:ind w:left="100" w:leftChars="2500"/>
    </w:pPr>
  </w:style>
  <w:style w:type="paragraph" w:styleId="9">
    <w:name w:val="Balloon Text"/>
    <w:basedOn w:val="1"/>
    <w:link w:val="24"/>
    <w:unhideWhenUsed/>
    <w:qFormat/>
    <w:uiPriority w:val="99"/>
    <w:rPr>
      <w:sz w:val="18"/>
      <w:szCs w:val="18"/>
    </w:rPr>
  </w:style>
  <w:style w:type="paragraph" w:styleId="10">
    <w:name w:val="footer"/>
    <w:basedOn w:val="1"/>
    <w:link w:val="20"/>
    <w:unhideWhenUsed/>
    <w:qFormat/>
    <w:uiPriority w:val="99"/>
    <w:pPr>
      <w:tabs>
        <w:tab w:val="center" w:pos="4153"/>
        <w:tab w:val="right" w:pos="8306"/>
      </w:tabs>
      <w:snapToGrid w:val="0"/>
      <w:jc w:val="left"/>
    </w:pPr>
    <w:rPr>
      <w:rFonts w:ascii="Calibri" w:hAnsi="Calibri" w:eastAsia="黑体" w:cs="黑体"/>
      <w:sz w:val="18"/>
      <w:szCs w:val="18"/>
    </w:rPr>
  </w:style>
  <w:style w:type="paragraph" w:styleId="11">
    <w:name w:val="header"/>
    <w:basedOn w:val="1"/>
    <w:link w:val="19"/>
    <w:autoRedefine/>
    <w:unhideWhenUsed/>
    <w:qFormat/>
    <w:uiPriority w:val="99"/>
    <w:pPr>
      <w:pBdr>
        <w:bottom w:val="single" w:color="auto" w:sz="6" w:space="1"/>
      </w:pBdr>
      <w:tabs>
        <w:tab w:val="center" w:pos="4153"/>
        <w:tab w:val="right" w:pos="8306"/>
      </w:tabs>
      <w:snapToGrid w:val="0"/>
      <w:jc w:val="center"/>
    </w:pPr>
    <w:rPr>
      <w:rFonts w:ascii="Calibri" w:hAnsi="Calibri" w:eastAsia="黑体" w:cs="黑体"/>
      <w:sz w:val="18"/>
      <w:szCs w:val="18"/>
    </w:rPr>
  </w:style>
  <w:style w:type="paragraph" w:styleId="12">
    <w:name w:val="HTML Preformatted"/>
    <w:basedOn w:val="1"/>
    <w:link w:val="2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13">
    <w:name w:val="annotation subject"/>
    <w:basedOn w:val="6"/>
    <w:next w:val="6"/>
    <w:link w:val="26"/>
    <w:unhideWhenUsed/>
    <w:qFormat/>
    <w:uiPriority w:val="99"/>
    <w:rPr>
      <w:b/>
      <w:bCs/>
    </w:rPr>
  </w:style>
  <w:style w:type="table" w:styleId="15">
    <w:name w:val="Table Grid"/>
    <w:basedOn w:val="14"/>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7">
    <w:name w:val="annotation reference"/>
    <w:basedOn w:val="16"/>
    <w:unhideWhenUsed/>
    <w:qFormat/>
    <w:uiPriority w:val="99"/>
    <w:rPr>
      <w:sz w:val="18"/>
      <w:szCs w:val="18"/>
    </w:rPr>
  </w:style>
  <w:style w:type="paragraph" w:customStyle="1" w:styleId="18">
    <w:name w:val="列出段落1"/>
    <w:basedOn w:val="1"/>
    <w:qFormat/>
    <w:uiPriority w:val="34"/>
    <w:pPr>
      <w:ind w:firstLine="420" w:firstLineChars="200"/>
    </w:pPr>
  </w:style>
  <w:style w:type="character" w:customStyle="1" w:styleId="19">
    <w:name w:val="页眉 字符"/>
    <w:basedOn w:val="16"/>
    <w:link w:val="11"/>
    <w:autoRedefine/>
    <w:semiHidden/>
    <w:qFormat/>
    <w:uiPriority w:val="99"/>
    <w:rPr>
      <w:sz w:val="18"/>
      <w:szCs w:val="18"/>
    </w:rPr>
  </w:style>
  <w:style w:type="character" w:customStyle="1" w:styleId="20">
    <w:name w:val="页脚 字符"/>
    <w:basedOn w:val="16"/>
    <w:link w:val="10"/>
    <w:qFormat/>
    <w:uiPriority w:val="99"/>
    <w:rPr>
      <w:sz w:val="18"/>
      <w:szCs w:val="18"/>
    </w:rPr>
  </w:style>
  <w:style w:type="character" w:customStyle="1" w:styleId="21">
    <w:name w:val="纯文本 Char"/>
    <w:basedOn w:val="16"/>
    <w:semiHidden/>
    <w:qFormat/>
    <w:uiPriority w:val="99"/>
    <w:rPr>
      <w:rFonts w:ascii="宋体" w:hAnsi="Courier New" w:eastAsia="宋体" w:cs="Courier New"/>
      <w:szCs w:val="21"/>
    </w:rPr>
  </w:style>
  <w:style w:type="character" w:customStyle="1" w:styleId="22">
    <w:name w:val="纯文本 字符"/>
    <w:link w:val="7"/>
    <w:autoRedefine/>
    <w:qFormat/>
    <w:uiPriority w:val="0"/>
    <w:rPr>
      <w:rFonts w:ascii="宋体" w:hAnsi="Courier New" w:eastAsia="宋体" w:cs="Times New Roman"/>
      <w:kern w:val="0"/>
      <w:szCs w:val="20"/>
    </w:rPr>
  </w:style>
  <w:style w:type="character" w:customStyle="1" w:styleId="23">
    <w:name w:val="HTML 预设格式 字符"/>
    <w:basedOn w:val="16"/>
    <w:link w:val="12"/>
    <w:semiHidden/>
    <w:qFormat/>
    <w:uiPriority w:val="99"/>
    <w:rPr>
      <w:rFonts w:ascii="宋体" w:hAnsi="宋体" w:eastAsia="宋体" w:cs="宋体"/>
      <w:kern w:val="0"/>
      <w:sz w:val="24"/>
      <w:szCs w:val="24"/>
    </w:rPr>
  </w:style>
  <w:style w:type="character" w:customStyle="1" w:styleId="24">
    <w:name w:val="批注框文本 字符"/>
    <w:basedOn w:val="16"/>
    <w:link w:val="9"/>
    <w:autoRedefine/>
    <w:semiHidden/>
    <w:qFormat/>
    <w:uiPriority w:val="99"/>
    <w:rPr>
      <w:rFonts w:ascii="Times New Roman" w:hAnsi="Times New Roman" w:eastAsia="宋体" w:cs="Times New Roman"/>
      <w:sz w:val="18"/>
      <w:szCs w:val="18"/>
    </w:rPr>
  </w:style>
  <w:style w:type="character" w:customStyle="1" w:styleId="25">
    <w:name w:val="批注文字 字符"/>
    <w:basedOn w:val="16"/>
    <w:link w:val="6"/>
    <w:autoRedefine/>
    <w:semiHidden/>
    <w:qFormat/>
    <w:uiPriority w:val="0"/>
    <w:rPr>
      <w:rFonts w:ascii="Times New Roman" w:hAnsi="Times New Roman" w:eastAsia="宋体" w:cs="Times New Roman"/>
      <w:sz w:val="24"/>
      <w:szCs w:val="24"/>
    </w:rPr>
  </w:style>
  <w:style w:type="character" w:customStyle="1" w:styleId="26">
    <w:name w:val="批注主题 字符"/>
    <w:basedOn w:val="25"/>
    <w:link w:val="13"/>
    <w:autoRedefine/>
    <w:semiHidden/>
    <w:qFormat/>
    <w:uiPriority w:val="99"/>
    <w:rPr>
      <w:rFonts w:ascii="Times New Roman" w:hAnsi="Times New Roman" w:eastAsia="宋体" w:cs="Times New Roman"/>
      <w:b/>
      <w:bCs/>
      <w:sz w:val="24"/>
      <w:szCs w:val="24"/>
    </w:rPr>
  </w:style>
  <w:style w:type="character" w:customStyle="1" w:styleId="27">
    <w:name w:val="文档结构图 字符"/>
    <w:basedOn w:val="16"/>
    <w:link w:val="5"/>
    <w:semiHidden/>
    <w:qFormat/>
    <w:uiPriority w:val="99"/>
    <w:rPr>
      <w:rFonts w:ascii="宋体" w:hAnsi="Times New Roman" w:eastAsia="宋体" w:cs="Times New Roman"/>
      <w:sz w:val="18"/>
      <w:szCs w:val="18"/>
    </w:rPr>
  </w:style>
  <w:style w:type="paragraph" w:customStyle="1" w:styleId="28">
    <w:name w:val="修订1"/>
    <w:autoRedefine/>
    <w:hidden/>
    <w:unhideWhenUsed/>
    <w:qFormat/>
    <w:uiPriority w:val="99"/>
    <w:rPr>
      <w:rFonts w:ascii="Times New Roman" w:hAnsi="Times New Roman" w:eastAsia="宋体" w:cs="Times New Roman"/>
      <w:kern w:val="2"/>
      <w:sz w:val="24"/>
      <w:szCs w:val="24"/>
      <w:lang w:val="en-US" w:eastAsia="zh-CN" w:bidi="ar-SA"/>
    </w:rPr>
  </w:style>
  <w:style w:type="character" w:customStyle="1" w:styleId="29">
    <w:name w:val="标题 1 字符"/>
    <w:basedOn w:val="16"/>
    <w:link w:val="4"/>
    <w:autoRedefine/>
    <w:qFormat/>
    <w:uiPriority w:val="9"/>
    <w:rPr>
      <w:rFonts w:ascii="宋体" w:hAnsi="宋体" w:cs="宋体"/>
      <w:b/>
      <w:bCs/>
      <w:kern w:val="36"/>
      <w:sz w:val="48"/>
      <w:szCs w:val="48"/>
    </w:rPr>
  </w:style>
  <w:style w:type="paragraph" w:customStyle="1" w:styleId="30">
    <w:name w:val="修订2"/>
    <w:autoRedefine/>
    <w:hidden/>
    <w:semiHidden/>
    <w:qFormat/>
    <w:uiPriority w:val="99"/>
    <w:rPr>
      <w:rFonts w:ascii="Times New Roman" w:hAnsi="Times New Roman" w:eastAsia="宋体" w:cs="Times New Roman"/>
      <w:kern w:val="2"/>
      <w:sz w:val="24"/>
      <w:szCs w:val="24"/>
      <w:lang w:val="en-US" w:eastAsia="zh-CN" w:bidi="ar-SA"/>
    </w:rPr>
  </w:style>
  <w:style w:type="paragraph" w:customStyle="1" w:styleId="31">
    <w:name w:val="列出段落2"/>
    <w:basedOn w:val="1"/>
    <w:unhideWhenUsed/>
    <w:qFormat/>
    <w:uiPriority w:val="99"/>
    <w:pPr>
      <w:ind w:firstLine="420" w:firstLineChars="200"/>
    </w:pPr>
  </w:style>
  <w:style w:type="paragraph" w:customStyle="1" w:styleId="32">
    <w:name w:val="修订3"/>
    <w:autoRedefine/>
    <w:hidden/>
    <w:semiHidden/>
    <w:qFormat/>
    <w:uiPriority w:val="99"/>
    <w:rPr>
      <w:rFonts w:ascii="Times New Roman" w:hAnsi="Times New Roman" w:eastAsia="宋体" w:cs="Times New Roman"/>
      <w:kern w:val="2"/>
      <w:sz w:val="24"/>
      <w:szCs w:val="24"/>
      <w:lang w:val="en-US" w:eastAsia="zh-CN" w:bidi="ar-SA"/>
    </w:rPr>
  </w:style>
  <w:style w:type="character" w:customStyle="1" w:styleId="33">
    <w:name w:val="日期 字符"/>
    <w:basedOn w:val="16"/>
    <w:link w:val="8"/>
    <w:semiHidden/>
    <w:qFormat/>
    <w:uiPriority w:val="0"/>
    <w:rPr>
      <w:kern w:val="2"/>
      <w:sz w:val="24"/>
      <w:szCs w:val="24"/>
    </w:rPr>
  </w:style>
  <w:style w:type="paragraph" w:customStyle="1" w:styleId="34">
    <w:name w:val="列出段落3"/>
    <w:basedOn w:val="1"/>
    <w:autoRedefine/>
    <w:qFormat/>
    <w:uiPriority w:val="99"/>
    <w:pPr>
      <w:ind w:firstLine="420" w:firstLineChars="200"/>
    </w:pPr>
  </w:style>
  <w:style w:type="paragraph" w:customStyle="1" w:styleId="35">
    <w:name w:val="Table Paragraph"/>
    <w:basedOn w:val="1"/>
    <w:autoRedefine/>
    <w:qFormat/>
    <w:uiPriority w:val="1"/>
    <w:pPr>
      <w:jc w:val="center"/>
    </w:pPr>
    <w:rPr>
      <w:rFonts w:eastAsia="Times New Roman"/>
      <w:lang w:val="zh-CN" w:bidi="zh-CN"/>
    </w:rPr>
  </w:style>
  <w:style w:type="character" w:customStyle="1" w:styleId="36">
    <w:name w:val="font21"/>
    <w:basedOn w:val="16"/>
    <w:autoRedefine/>
    <w:qFormat/>
    <w:uiPriority w:val="0"/>
    <w:rPr>
      <w:rFonts w:hint="eastAsia" w:ascii="宋体" w:hAnsi="宋体" w:eastAsia="宋体" w:cs="宋体"/>
      <w:color w:val="000000"/>
      <w:sz w:val="21"/>
      <w:szCs w:val="21"/>
      <w:u w:val="none"/>
    </w:rPr>
  </w:style>
  <w:style w:type="character" w:customStyle="1" w:styleId="37">
    <w:name w:val="font31"/>
    <w:basedOn w:val="16"/>
    <w:autoRedefine/>
    <w:qFormat/>
    <w:uiPriority w:val="0"/>
    <w:rPr>
      <w:rFonts w:hint="eastAsia" w:ascii="宋体" w:hAnsi="宋体" w:eastAsia="宋体" w:cs="宋体"/>
      <w:color w:val="000000"/>
      <w:sz w:val="18"/>
      <w:szCs w:val="18"/>
      <w:u w:val="none"/>
    </w:rPr>
  </w:style>
  <w:style w:type="character" w:customStyle="1" w:styleId="38">
    <w:name w:val="font11"/>
    <w:basedOn w:val="16"/>
    <w:qFormat/>
    <w:uiPriority w:val="0"/>
    <w:rPr>
      <w:rFonts w:hint="eastAsia" w:ascii="宋体" w:hAnsi="宋体" w:eastAsia="宋体" w:cs="宋体"/>
      <w:color w:val="000000"/>
      <w:sz w:val="18"/>
      <w:szCs w:val="18"/>
      <w:u w:val="none"/>
    </w:rPr>
  </w:style>
  <w:style w:type="paragraph" w:customStyle="1" w:styleId="39">
    <w:name w:val="修订4"/>
    <w:hidden/>
    <w:semiHidden/>
    <w:qFormat/>
    <w:uiPriority w:val="99"/>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3B78F7-7F8D-41DF-A4E1-90AC49E45B9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42</Pages>
  <Words>19556</Words>
  <Characters>20550</Characters>
  <Lines>182</Lines>
  <Paragraphs>51</Paragraphs>
  <TotalTime>2</TotalTime>
  <ScaleCrop>false</ScaleCrop>
  <LinksUpToDate>false</LinksUpToDate>
  <CharactersWithSpaces>21015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2017-12-15T06:49:00Z</dcterms:created>
  <dc:creator>mz</dc:creator>
  <cp:lastModifiedBy>天空大麦茶</cp:lastModifiedBy>
  <cp:lastPrinted>2023-08-03T03:21:00Z</cp:lastPrinted>
  <dcterms:modified xsi:type="dcterms:W3CDTF">2024-01-03T06:10:11Z</dcterms:modified>
  <dc:title>合同编号：</dc:title>
  <cp:revision>437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6D3053EA903640B4B05CF0A635A4C697_13</vt:lpwstr>
  </property>
</Properties>
</file>