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640" w:firstLineChars="200"/>
        <w:jc w:val="left"/>
        <w:outlineLvl w:val="1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租金计算办法</w:t>
      </w:r>
    </w:p>
    <w:p>
      <w:pPr>
        <w:spacing w:line="500" w:lineRule="exact"/>
        <w:ind w:firstLine="640" w:firstLineChars="200"/>
        <w:jc w:val="left"/>
        <w:rPr>
          <w:rFonts w:ascii="仿宋_GB2312" w:eastAsia="仿宋_GB2312" w:cs="Arial" w:hAnsiTheme="maj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按照本项目招租最终成交的租金价格按比例分摊至每一年，各年度租金金额支付比例如下表：</w:t>
      </w:r>
    </w:p>
    <w:tbl>
      <w:tblPr>
        <w:tblStyle w:val="4"/>
        <w:tblW w:w="7538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051"/>
        <w:gridCol w:w="3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18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租赁年度</w:t>
            </w:r>
          </w:p>
        </w:tc>
        <w:tc>
          <w:tcPr>
            <w:tcW w:w="3569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租金支付比例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第一年度</w:t>
            </w:r>
          </w:p>
        </w:tc>
        <w:tc>
          <w:tcPr>
            <w:tcW w:w="3569" w:type="dxa"/>
            <w:vAlign w:val="center"/>
          </w:tcPr>
          <w:p>
            <w:pPr>
              <w:widowControl/>
              <w:spacing w:line="500" w:lineRule="exact"/>
              <w:ind w:firstLine="0" w:firstLineChars="0"/>
              <w:jc w:val="center"/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成交金额的</w:t>
            </w: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highlight w:val="none"/>
                <w:lang w:val="en-US" w:eastAsia="zh-CN"/>
              </w:rPr>
              <w:t>31.72%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第二年度</w:t>
            </w:r>
          </w:p>
        </w:tc>
        <w:tc>
          <w:tcPr>
            <w:tcW w:w="3569" w:type="dxa"/>
            <w:vAlign w:val="center"/>
          </w:tcPr>
          <w:p>
            <w:pPr>
              <w:widowControl/>
              <w:spacing w:line="500" w:lineRule="exact"/>
              <w:ind w:firstLine="0" w:firstLineChars="0"/>
              <w:jc w:val="center"/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成交金额的</w:t>
            </w:r>
            <w:r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highlight w:val="none"/>
                <w:lang w:val="en-US" w:eastAsia="zh-CN"/>
              </w:rPr>
              <w:t>33.31%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第三年度</w:t>
            </w:r>
          </w:p>
        </w:tc>
        <w:tc>
          <w:tcPr>
            <w:tcW w:w="3569" w:type="dxa"/>
            <w:vAlign w:val="center"/>
          </w:tcPr>
          <w:p>
            <w:pPr>
              <w:widowControl/>
              <w:spacing w:line="500" w:lineRule="exact"/>
              <w:ind w:firstLine="0" w:firstLineChars="0"/>
              <w:jc w:val="center"/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成交金额的</w:t>
            </w:r>
            <w:r>
              <w:rPr>
                <w:rFonts w:hint="default" w:ascii="仿宋_GB2312" w:eastAsia="仿宋_GB2312" w:cs="Arial" w:hAnsiTheme="majorEastAsia"/>
                <w:kern w:val="0"/>
                <w:sz w:val="24"/>
                <w:szCs w:val="24"/>
                <w:highlight w:val="none"/>
                <w:lang w:val="en-US" w:eastAsia="zh-CN"/>
              </w:rPr>
              <w:t>34.97%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55"/>
                <w:numId w:val="0"/>
              </w:numPr>
              <w:spacing w:line="500" w:lineRule="exact"/>
              <w:ind w:firstLine="0" w:firstLineChars="0"/>
              <w:jc w:val="center"/>
              <w:rPr>
                <w:rFonts w:ascii="仿宋_GB2312" w:eastAsia="仿宋_GB2312" w:cs="Arial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成交金额的100%</w:t>
            </w:r>
          </w:p>
        </w:tc>
      </w:tr>
    </w:tbl>
    <w:p>
      <w:pPr>
        <w:spacing w:line="500" w:lineRule="exact"/>
        <w:ind w:firstLine="640" w:firstLineChars="200"/>
        <w:jc w:val="left"/>
        <w:outlineLvl w:val="1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租金变更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1.租赁期内，如非出租人原因导致实际布设的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自助贩售设备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场地数量有所减少，场地租赁费用不予扣减。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position w:val="-26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2.如因出租人原因导致交付的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自助贩售设备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场地数量有所减少；或承租人在取得出租人许可后，申请增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eastAsia="zh-CN"/>
        </w:rPr>
        <w:t>自助贩售设备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场地数量，出租人根据实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际交付的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自助贩售设备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场地数量对租金予以相应调整，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参照《评估报告》中的点位价值表及最终成交价按比例反推调整租金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bookmarkStart w:id="1" w:name="_GoBack"/>
      <w:bookmarkEnd w:id="1"/>
    </w:p>
    <w:p>
      <w:pPr>
        <w:pStyle w:val="6"/>
        <w:numPr>
          <w:ilvl w:val="255"/>
          <w:numId w:val="0"/>
        </w:numPr>
        <w:tabs>
          <w:tab w:val="left" w:pos="426"/>
          <w:tab w:val="left" w:pos="851"/>
        </w:tabs>
        <w:spacing w:line="500" w:lineRule="exact"/>
        <w:ind w:firstLine="560" w:firstLineChars="175"/>
        <w:jc w:val="left"/>
        <w:outlineLvl w:val="0"/>
        <w:rPr>
          <w:rFonts w:ascii="黑体" w:hAnsi="黑体" w:eastAsia="黑体"/>
          <w:sz w:val="32"/>
          <w:szCs w:val="32"/>
        </w:rPr>
      </w:pPr>
      <w:bookmarkStart w:id="0" w:name="_Toc98941184"/>
      <w:r>
        <w:rPr>
          <w:rFonts w:hint="eastAsia" w:ascii="黑体" w:hAnsi="黑体" w:eastAsia="黑体"/>
          <w:sz w:val="32"/>
          <w:szCs w:val="32"/>
        </w:rPr>
        <w:t>电费结算和支付</w:t>
      </w:r>
      <w:bookmarkEnd w:id="0"/>
    </w:p>
    <w:p>
      <w:pPr>
        <w:spacing w:line="50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  <w:u w:val="none"/>
        </w:rPr>
      </w:pP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租赁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期内，合同经营范围内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1号线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车站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站厅层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自助贩售设备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产生的电费由承租人承担，具体单价、交纳的期限和方式由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出租人的分子机构与承租人另行签订用电管理协议，并由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承租人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预交不低于三个月的电费作为用电管理协议保证金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mNzQ1YjlhMmY3OTI2NGVmNmM1ODAyMWJjNmY2MjUifQ=="/>
  </w:docVars>
  <w:rsids>
    <w:rsidRoot w:val="00000000"/>
    <w:rsid w:val="00504610"/>
    <w:rsid w:val="12C02A37"/>
    <w:rsid w:val="26972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napToGrid w:val="0"/>
      <w:spacing w:line="560" w:lineRule="exact"/>
      <w:ind w:firstLine="643" w:firstLineChars="200"/>
    </w:pPr>
    <w:rPr>
      <w:rFonts w:eastAsia="方正楷体简体"/>
      <w:b/>
      <w:bCs/>
      <w:sz w:val="32"/>
    </w:rPr>
  </w:style>
  <w:style w:type="paragraph" w:styleId="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否极泰来</cp:lastModifiedBy>
  <dcterms:modified xsi:type="dcterms:W3CDTF">2024-01-29T03:12:53Z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E291512EC2234A44A6ECDF440A13F4F7_12</vt:lpwstr>
  </property>
</Properties>
</file>