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outlineLvl w:val="1"/>
        <w:rPr>
          <w:rFonts w:hint="eastAsia" w:ascii="方正小标宋简体" w:hAnsi="方正小标宋简体" w:eastAsia="方正小标宋简体" w:cs="方正小标宋简体"/>
          <w:b w:val="0"/>
          <w:bCs/>
          <w:color w:val="auto"/>
        </w:rPr>
      </w:pPr>
      <w:r>
        <w:rPr>
          <w:rFonts w:hint="eastAsia" w:ascii="方正小标宋简体" w:hAnsi="方正小标宋简体" w:eastAsia="方正小标宋简体" w:cs="方正小标宋简体"/>
          <w:b w:val="0"/>
          <w:bCs/>
          <w:color w:val="auto"/>
        </w:rPr>
        <w:t>资产基本情况与风险提示</w:t>
      </w:r>
    </w:p>
    <w:p>
      <w:pPr>
        <w:ind w:firstLine="0" w:firstLineChars="0"/>
        <w:outlineLvl w:val="1"/>
        <w:rPr>
          <w:rFonts w:ascii="黑体" w:hAnsi="黑体" w:eastAsia="黑体" w:cs="黑体"/>
          <w:color w:val="auto"/>
        </w:rPr>
      </w:pPr>
      <w:r>
        <w:rPr>
          <w:rFonts w:hint="eastAsia" w:ascii="黑体" w:hAnsi="黑体" w:eastAsia="黑体" w:cs="黑体"/>
          <w:color w:val="auto"/>
        </w:rPr>
        <w:t>一、资产基本情况</w:t>
      </w:r>
    </w:p>
    <w:p>
      <w:pPr>
        <w:ind w:firstLine="0" w:firstLineChars="0"/>
        <w:outlineLvl w:val="1"/>
        <w:rPr>
          <w:color w:val="auto"/>
        </w:rPr>
      </w:pPr>
      <w:r>
        <w:rPr>
          <w:rFonts w:hint="eastAsia"/>
          <w:color w:val="auto"/>
        </w:rPr>
        <w:t xml:space="preserve">   </w:t>
      </w:r>
      <w:r>
        <w:rPr>
          <w:rFonts w:hint="eastAsia" w:ascii="方正楷体简体" w:hAnsi="方正楷体简体" w:eastAsia="方正楷体简体" w:cs="方正楷体简体"/>
          <w:color w:val="auto"/>
        </w:rPr>
        <w:t xml:space="preserve"> </w:t>
      </w:r>
      <w:bookmarkStart w:id="0" w:name="_Toc9927"/>
      <w:r>
        <w:rPr>
          <w:rFonts w:hint="eastAsia" w:ascii="方正楷体简体" w:eastAsia="方正楷体简体"/>
          <w:color w:val="auto"/>
          <w:szCs w:val="22"/>
        </w:rPr>
        <w:t>（一）债权情况概览</w:t>
      </w:r>
      <w:bookmarkEnd w:id="0"/>
    </w:p>
    <w:p>
      <w:pPr>
        <w:ind w:firstLine="640"/>
      </w:pPr>
      <w:r>
        <w:rPr>
          <w:rFonts w:hint="eastAsia"/>
          <w:color w:val="auto"/>
        </w:rPr>
        <w:t>本次拟处置的债权共计11户，全部来自于分公司于2019年12月18日受让的贵州福泉农村商业银行股份有限公司（以下简称“福泉农商行”）及贵州瓮安农村商业银行股份有限公司持有贵州佳宜文峰商贸有限公司（以下简称“瓮安农商行”）等28户债权资产包项目（以下简称“福泉28户资产包</w:t>
      </w:r>
      <w:r>
        <w:rPr>
          <w:rFonts w:hint="eastAsia"/>
          <w:color w:val="auto"/>
          <w:lang w:eastAsia="zh-CN"/>
        </w:rPr>
        <w:t>）</w:t>
      </w:r>
      <w:r>
        <w:rPr>
          <w:rFonts w:hint="eastAsia"/>
          <w:color w:val="auto"/>
        </w:rPr>
        <w:t>，其中瓮安县永隆印务有限责任公司、贵州中亚彩印包装有限公司、翁安天恒贸易有限公司等3户债</w:t>
      </w:r>
      <w:r>
        <w:rPr>
          <w:rFonts w:hint="eastAsia"/>
        </w:rPr>
        <w:t>权为抵押类债权，贵州永亨合生汽车销售有限公司等8户债权为保证类债权。截至转让基准日2022年12月31</w:t>
      </w:r>
      <w:r>
        <w:rPr>
          <w:rFonts w:hint="eastAsia"/>
          <w:szCs w:val="22"/>
        </w:rPr>
        <w:t>日，该11户债权尚欠本金余额92,751,976.47 元，利息余额为48,148,729.20 元，代垫费用（诉讼保全费等）为527,848.50 元（原金额881,029.50元，基准日后已退还353,181.00元），债权合计为141,428,554.17元。</w:t>
      </w:r>
      <w:r>
        <w:rPr>
          <w:rFonts w:hint="eastAsia"/>
        </w:rPr>
        <w:t>该11户债权其基本情况如下：</w:t>
      </w:r>
    </w:p>
    <w:p>
      <w:pPr>
        <w:adjustRightInd w:val="0"/>
        <w:snapToGrid w:val="0"/>
        <w:spacing w:line="240" w:lineRule="auto"/>
        <w:ind w:firstLine="720" w:firstLineChars="300"/>
        <w:jc w:val="right"/>
        <w:rPr>
          <w:sz w:val="24"/>
          <w:szCs w:val="24"/>
        </w:rPr>
      </w:pPr>
    </w:p>
    <w:p>
      <w:pPr>
        <w:adjustRightInd w:val="0"/>
        <w:snapToGrid w:val="0"/>
        <w:spacing w:line="240" w:lineRule="auto"/>
        <w:ind w:firstLine="720" w:firstLineChars="300"/>
        <w:jc w:val="right"/>
        <w:rPr>
          <w:sz w:val="24"/>
          <w:szCs w:val="24"/>
        </w:rPr>
      </w:pPr>
      <w:r>
        <w:rPr>
          <w:rFonts w:hint="eastAsia"/>
          <w:sz w:val="24"/>
          <w:szCs w:val="24"/>
        </w:rPr>
        <w:t>基准日：2022年12月31日，单元：元</w:t>
      </w:r>
    </w:p>
    <w:tbl>
      <w:tblPr>
        <w:tblStyle w:val="18"/>
        <w:tblW w:w="9697" w:type="dxa"/>
        <w:tblInd w:w="-5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1695"/>
        <w:gridCol w:w="1170"/>
        <w:gridCol w:w="1104"/>
        <w:gridCol w:w="987"/>
        <w:gridCol w:w="1065"/>
        <w:gridCol w:w="1097"/>
        <w:gridCol w:w="96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shd w:val="clear" w:color="auto" w:fill="BEBEBE" w:themeFill="background1" w:themeFillShade="BF"/>
            <w:vAlign w:val="center"/>
          </w:tcPr>
          <w:p>
            <w:pPr>
              <w:adjustRightInd w:val="0"/>
              <w:snapToGrid w:val="0"/>
              <w:spacing w:line="240" w:lineRule="auto"/>
              <w:ind w:firstLine="0" w:firstLineChars="0"/>
              <w:jc w:val="center"/>
              <w:rPr>
                <w:rFonts w:hAnsi="方正仿宋简体" w:cs="方正仿宋简体"/>
                <w:sz w:val="24"/>
                <w:szCs w:val="24"/>
              </w:rPr>
            </w:pPr>
            <w:bookmarkStart w:id="1" w:name="_Toc101092317"/>
            <w:r>
              <w:rPr>
                <w:rFonts w:hint="eastAsia" w:hAnsi="方正仿宋简体" w:cs="方正仿宋简体"/>
                <w:sz w:val="24"/>
                <w:szCs w:val="24"/>
              </w:rPr>
              <w:t>序号</w:t>
            </w:r>
          </w:p>
        </w:tc>
        <w:tc>
          <w:tcPr>
            <w:tcW w:w="1695" w:type="dxa"/>
            <w:shd w:val="clear" w:color="auto" w:fill="BEBEBE" w:themeFill="background1" w:themeFillShade="BF"/>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债务人名称</w:t>
            </w:r>
          </w:p>
        </w:tc>
        <w:tc>
          <w:tcPr>
            <w:tcW w:w="1170" w:type="dxa"/>
            <w:shd w:val="clear" w:color="auto" w:fill="BEBEBE" w:themeFill="background1" w:themeFillShade="BF"/>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本金余额</w:t>
            </w:r>
          </w:p>
        </w:tc>
        <w:tc>
          <w:tcPr>
            <w:tcW w:w="1104" w:type="dxa"/>
            <w:shd w:val="clear" w:color="auto" w:fill="BEBEBE" w:themeFill="background1" w:themeFillShade="BF"/>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利息余额</w:t>
            </w:r>
          </w:p>
        </w:tc>
        <w:tc>
          <w:tcPr>
            <w:tcW w:w="987" w:type="dxa"/>
            <w:shd w:val="clear" w:color="auto" w:fill="BEBEBE" w:themeFill="background1" w:themeFillShade="BF"/>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代垫费用</w:t>
            </w:r>
          </w:p>
        </w:tc>
        <w:tc>
          <w:tcPr>
            <w:tcW w:w="1065" w:type="dxa"/>
            <w:shd w:val="clear" w:color="auto" w:fill="BEBEBE" w:themeFill="background1" w:themeFillShade="BF"/>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担保情况</w:t>
            </w:r>
          </w:p>
        </w:tc>
        <w:tc>
          <w:tcPr>
            <w:tcW w:w="1097" w:type="dxa"/>
            <w:shd w:val="clear" w:color="auto" w:fill="BEBEBE" w:themeFill="background1" w:themeFillShade="BF"/>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诉讼情况</w:t>
            </w:r>
          </w:p>
        </w:tc>
        <w:tc>
          <w:tcPr>
            <w:tcW w:w="960" w:type="dxa"/>
            <w:shd w:val="clear" w:color="auto" w:fill="BEBEBE" w:themeFill="background1" w:themeFillShade="BF"/>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五级分类</w:t>
            </w:r>
          </w:p>
        </w:tc>
        <w:tc>
          <w:tcPr>
            <w:tcW w:w="1080" w:type="dxa"/>
            <w:shd w:val="clear" w:color="auto" w:fill="BEBEBE" w:themeFill="background1" w:themeFillShade="BF"/>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资产包来源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trPr>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1</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瓮安县永隆印务有限责任公司</w:t>
            </w:r>
          </w:p>
        </w:tc>
        <w:tc>
          <w:tcPr>
            <w:tcW w:w="1170"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1"/>
                <w:szCs w:val="21"/>
                <w:lang w:bidi="ar"/>
              </w:rPr>
              <w:t xml:space="preserve">17,429,700.00 </w:t>
            </w:r>
          </w:p>
        </w:tc>
        <w:tc>
          <w:tcPr>
            <w:tcW w:w="1104"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1"/>
                <w:szCs w:val="21"/>
                <w:lang w:bidi="ar"/>
              </w:rPr>
              <w:t xml:space="preserve">6,182,276.04 </w:t>
            </w:r>
          </w:p>
        </w:tc>
        <w:tc>
          <w:tcPr>
            <w:tcW w:w="987"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16"/>
                <w:szCs w:val="16"/>
                <w:lang w:bidi="ar"/>
              </w:rPr>
              <w:t>161,943.00 （已退137,594.00元）</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抵押</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执行中</w:t>
            </w:r>
          </w:p>
        </w:tc>
        <w:tc>
          <w:tcPr>
            <w:tcW w:w="96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次级</w:t>
            </w:r>
          </w:p>
        </w:tc>
        <w:tc>
          <w:tcPr>
            <w:tcW w:w="108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2</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贵州中亚彩印包装有限公司</w:t>
            </w:r>
          </w:p>
        </w:tc>
        <w:tc>
          <w:tcPr>
            <w:tcW w:w="1170"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1"/>
                <w:szCs w:val="21"/>
                <w:lang w:bidi="ar"/>
              </w:rPr>
              <w:t xml:space="preserve">18,000,000.00 </w:t>
            </w:r>
          </w:p>
        </w:tc>
        <w:tc>
          <w:tcPr>
            <w:tcW w:w="1104"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1"/>
                <w:szCs w:val="21"/>
                <w:lang w:bidi="ar"/>
              </w:rPr>
              <w:t xml:space="preserve">6,103,345.90 </w:t>
            </w:r>
          </w:p>
        </w:tc>
        <w:tc>
          <w:tcPr>
            <w:tcW w:w="987"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16"/>
                <w:szCs w:val="16"/>
                <w:lang w:bidi="ar"/>
              </w:rPr>
              <w:t>166,254.00 （已退156,572.00元）</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抵押</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执行中</w:t>
            </w:r>
          </w:p>
        </w:tc>
        <w:tc>
          <w:tcPr>
            <w:tcW w:w="96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次级</w:t>
            </w:r>
          </w:p>
        </w:tc>
        <w:tc>
          <w:tcPr>
            <w:tcW w:w="108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3</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翁安天恒贸易有限公司</w:t>
            </w:r>
          </w:p>
        </w:tc>
        <w:tc>
          <w:tcPr>
            <w:tcW w:w="1170"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1"/>
                <w:szCs w:val="21"/>
                <w:lang w:bidi="ar"/>
              </w:rPr>
              <w:t xml:space="preserve">5,200,000.00 </w:t>
            </w:r>
          </w:p>
        </w:tc>
        <w:tc>
          <w:tcPr>
            <w:tcW w:w="1104"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1"/>
                <w:szCs w:val="21"/>
                <w:lang w:bidi="ar"/>
              </w:rPr>
              <w:t xml:space="preserve">2,810,031.54 </w:t>
            </w:r>
          </w:p>
        </w:tc>
        <w:tc>
          <w:tcPr>
            <w:tcW w:w="987"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16"/>
                <w:szCs w:val="16"/>
                <w:lang w:bidi="ar"/>
              </w:rPr>
              <w:t xml:space="preserve">67,595.00已退59,015.00元) </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抵押</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执行中</w:t>
            </w:r>
          </w:p>
        </w:tc>
        <w:tc>
          <w:tcPr>
            <w:tcW w:w="96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次级</w:t>
            </w:r>
          </w:p>
        </w:tc>
        <w:tc>
          <w:tcPr>
            <w:tcW w:w="108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4</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贵州永亨合生汽车销售有限公司</w:t>
            </w:r>
          </w:p>
        </w:tc>
        <w:tc>
          <w:tcPr>
            <w:tcW w:w="1170" w:type="dxa"/>
            <w:vAlign w:val="center"/>
          </w:tcPr>
          <w:p>
            <w:pPr>
              <w:widowControl/>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8,615,737.84 </w:t>
            </w:r>
          </w:p>
        </w:tc>
        <w:tc>
          <w:tcPr>
            <w:tcW w:w="1104" w:type="dxa"/>
            <w:vAlign w:val="center"/>
          </w:tcPr>
          <w:p>
            <w:pPr>
              <w:widowControl/>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4,868,387.08 </w:t>
            </w:r>
          </w:p>
        </w:tc>
        <w:tc>
          <w:tcPr>
            <w:tcW w:w="987" w:type="dxa"/>
            <w:vAlign w:val="center"/>
          </w:tcPr>
          <w:p>
            <w:pPr>
              <w:widowControl/>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88,370.00 </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保证</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执行中</w:t>
            </w:r>
          </w:p>
        </w:tc>
        <w:tc>
          <w:tcPr>
            <w:tcW w:w="96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可疑类</w:t>
            </w:r>
          </w:p>
        </w:tc>
        <w:tc>
          <w:tcPr>
            <w:tcW w:w="108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rPr>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5</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贵州安辉汽车贸易有限公司</w:t>
            </w:r>
          </w:p>
        </w:tc>
        <w:tc>
          <w:tcPr>
            <w:tcW w:w="1170"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8,615,889.54 </w:t>
            </w:r>
          </w:p>
        </w:tc>
        <w:tc>
          <w:tcPr>
            <w:tcW w:w="1104"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4,868,455.09 </w:t>
            </w:r>
          </w:p>
        </w:tc>
        <w:tc>
          <w:tcPr>
            <w:tcW w:w="987"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88,621.00 </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保证</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终结本次执行</w:t>
            </w:r>
          </w:p>
        </w:tc>
        <w:tc>
          <w:tcPr>
            <w:tcW w:w="96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可疑类</w:t>
            </w:r>
          </w:p>
        </w:tc>
        <w:tc>
          <w:tcPr>
            <w:tcW w:w="108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6</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贵州华星斯卡特汽车销售有限公司</w:t>
            </w:r>
          </w:p>
        </w:tc>
        <w:tc>
          <w:tcPr>
            <w:tcW w:w="1170"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8,615,609.13 </w:t>
            </w:r>
          </w:p>
        </w:tc>
        <w:tc>
          <w:tcPr>
            <w:tcW w:w="1104"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4,868,329.37 </w:t>
            </w:r>
          </w:p>
        </w:tc>
        <w:tc>
          <w:tcPr>
            <w:tcW w:w="987"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88,319.00 </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保证</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执行中</w:t>
            </w:r>
          </w:p>
        </w:tc>
        <w:tc>
          <w:tcPr>
            <w:tcW w:w="96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可疑类</w:t>
            </w:r>
          </w:p>
        </w:tc>
        <w:tc>
          <w:tcPr>
            <w:tcW w:w="108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7</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贵州陕西重型汽车销售有限公司</w:t>
            </w:r>
          </w:p>
        </w:tc>
        <w:tc>
          <w:tcPr>
            <w:tcW w:w="1170"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8,615,862.46 </w:t>
            </w:r>
          </w:p>
        </w:tc>
        <w:tc>
          <w:tcPr>
            <w:tcW w:w="1104"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4,868,442.98 </w:t>
            </w:r>
          </w:p>
        </w:tc>
        <w:tc>
          <w:tcPr>
            <w:tcW w:w="987"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88,000.00 </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保证</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执行中</w:t>
            </w:r>
          </w:p>
        </w:tc>
        <w:tc>
          <w:tcPr>
            <w:tcW w:w="96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可疑类</w:t>
            </w:r>
          </w:p>
        </w:tc>
        <w:tc>
          <w:tcPr>
            <w:tcW w:w="108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8</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贵州陕汽工贸有限公司</w:t>
            </w:r>
          </w:p>
        </w:tc>
        <w:tc>
          <w:tcPr>
            <w:tcW w:w="1170"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8,556,703.08 </w:t>
            </w:r>
          </w:p>
        </w:tc>
        <w:tc>
          <w:tcPr>
            <w:tcW w:w="1104"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4,867,854.43 </w:t>
            </w:r>
          </w:p>
        </w:tc>
        <w:tc>
          <w:tcPr>
            <w:tcW w:w="987"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88,362.00 </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保证</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终结本次执行</w:t>
            </w:r>
          </w:p>
        </w:tc>
        <w:tc>
          <w:tcPr>
            <w:tcW w:w="96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可疑类</w:t>
            </w:r>
          </w:p>
        </w:tc>
        <w:tc>
          <w:tcPr>
            <w:tcW w:w="108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9</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福泉市鑫达矿业有限责任公司</w:t>
            </w:r>
          </w:p>
        </w:tc>
        <w:tc>
          <w:tcPr>
            <w:tcW w:w="1170"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798,000.00 </w:t>
            </w:r>
          </w:p>
        </w:tc>
        <w:tc>
          <w:tcPr>
            <w:tcW w:w="1104"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938,847.00 </w:t>
            </w:r>
          </w:p>
        </w:tc>
        <w:tc>
          <w:tcPr>
            <w:tcW w:w="987"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9,645.00 </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保证</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执行中</w:t>
            </w:r>
          </w:p>
        </w:tc>
        <w:tc>
          <w:tcPr>
            <w:tcW w:w="96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可疑类</w:t>
            </w:r>
          </w:p>
        </w:tc>
        <w:tc>
          <w:tcPr>
            <w:tcW w:w="1080"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tcPr>
          <w:p>
            <w:pPr>
              <w:widowControl/>
              <w:adjustRightInd w:val="0"/>
              <w:snapToGrid w:val="0"/>
              <w:spacing w:line="240" w:lineRule="auto"/>
              <w:ind w:firstLine="0" w:firstLineChars="0"/>
              <w:jc w:val="center"/>
              <w:textAlignment w:val="center"/>
              <w:rPr>
                <w:rFonts w:ascii="宋体" w:hAnsi="宋体" w:eastAsia="宋体" w:cs="宋体"/>
                <w:kern w:val="0"/>
                <w:sz w:val="20"/>
                <w:lang w:bidi="ar"/>
              </w:rPr>
            </w:pPr>
            <w:r>
              <w:rPr>
                <w:rFonts w:hint="eastAsia" w:ascii="宋体" w:hAnsi="宋体" w:eastAsia="宋体" w:cs="宋体"/>
                <w:kern w:val="0"/>
                <w:sz w:val="20"/>
                <w:lang w:bidi="ar"/>
              </w:rPr>
              <w:t>10</w:t>
            </w:r>
          </w:p>
        </w:tc>
        <w:tc>
          <w:tcPr>
            <w:tcW w:w="1695" w:type="dxa"/>
            <w:vAlign w:val="center"/>
          </w:tcPr>
          <w:p>
            <w:pPr>
              <w:widowControl/>
              <w:adjustRightInd w:val="0"/>
              <w:snapToGrid w:val="0"/>
              <w:spacing w:line="240" w:lineRule="auto"/>
              <w:ind w:firstLine="0" w:firstLineChars="0"/>
              <w:jc w:val="center"/>
              <w:textAlignment w:val="center"/>
              <w:rPr>
                <w:rFonts w:ascii="宋体" w:hAnsi="宋体" w:eastAsia="宋体" w:cs="宋体"/>
                <w:kern w:val="0"/>
                <w:sz w:val="20"/>
                <w:lang w:bidi="ar"/>
              </w:rPr>
            </w:pPr>
            <w:r>
              <w:rPr>
                <w:rFonts w:hint="eastAsia" w:ascii="宋体" w:hAnsi="宋体" w:eastAsia="宋体" w:cs="宋体"/>
                <w:kern w:val="0"/>
                <w:sz w:val="20"/>
                <w:lang w:bidi="ar"/>
              </w:rPr>
              <w:t>福泉市屹达矿业有限责任公司</w:t>
            </w:r>
          </w:p>
        </w:tc>
        <w:tc>
          <w:tcPr>
            <w:tcW w:w="1170"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4,454,474.42 </w:t>
            </w:r>
          </w:p>
        </w:tc>
        <w:tc>
          <w:tcPr>
            <w:tcW w:w="1104"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4,998,821.92 </w:t>
            </w:r>
          </w:p>
        </w:tc>
        <w:tc>
          <w:tcPr>
            <w:tcW w:w="987"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0"/>
                <w:lang w:bidi="ar"/>
              </w:rPr>
              <w:t xml:space="preserve">33,920.50 </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保证</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终结本次执行</w:t>
            </w:r>
          </w:p>
        </w:tc>
        <w:tc>
          <w:tcPr>
            <w:tcW w:w="96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可疑类</w:t>
            </w:r>
          </w:p>
        </w:tc>
        <w:tc>
          <w:tcPr>
            <w:tcW w:w="108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9" w:type="dxa"/>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11</w:t>
            </w:r>
          </w:p>
        </w:tc>
        <w:tc>
          <w:tcPr>
            <w:tcW w:w="1695" w:type="dxa"/>
            <w:vAlign w:val="center"/>
          </w:tcPr>
          <w:p>
            <w:pPr>
              <w:widowControl/>
              <w:adjustRightInd w:val="0"/>
              <w:snapToGrid w:val="0"/>
              <w:spacing w:line="240" w:lineRule="auto"/>
              <w:ind w:firstLine="0" w:firstLineChars="0"/>
              <w:jc w:val="center"/>
              <w:textAlignment w:val="center"/>
              <w:rPr>
                <w:rFonts w:hAnsi="方正仿宋简体" w:cs="方正仿宋简体"/>
                <w:sz w:val="24"/>
                <w:szCs w:val="24"/>
              </w:rPr>
            </w:pPr>
            <w:r>
              <w:rPr>
                <w:rFonts w:hint="eastAsia" w:ascii="宋体" w:hAnsi="宋体" w:eastAsia="宋体" w:cs="宋体"/>
                <w:kern w:val="0"/>
                <w:sz w:val="20"/>
                <w:lang w:bidi="ar"/>
              </w:rPr>
              <w:t>福泉市三根树矿业有限公司</w:t>
            </w:r>
          </w:p>
        </w:tc>
        <w:tc>
          <w:tcPr>
            <w:tcW w:w="1170"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1"/>
                <w:szCs w:val="21"/>
                <w:lang w:bidi="ar"/>
              </w:rPr>
              <w:t xml:space="preserve">3,850,000.00 </w:t>
            </w:r>
          </w:p>
        </w:tc>
        <w:tc>
          <w:tcPr>
            <w:tcW w:w="1104"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1"/>
                <w:szCs w:val="21"/>
                <w:lang w:bidi="ar"/>
              </w:rPr>
              <w:t xml:space="preserve">2,773,937.85 </w:t>
            </w:r>
          </w:p>
        </w:tc>
        <w:tc>
          <w:tcPr>
            <w:tcW w:w="987" w:type="dxa"/>
            <w:vAlign w:val="center"/>
          </w:tcPr>
          <w:p>
            <w:pPr>
              <w:widowControl/>
              <w:adjustRightInd w:val="0"/>
              <w:snapToGrid w:val="0"/>
              <w:spacing w:line="240" w:lineRule="auto"/>
              <w:ind w:firstLine="0" w:firstLineChars="0"/>
              <w:textAlignment w:val="center"/>
              <w:rPr>
                <w:rFonts w:ascii="宋体" w:hAnsi="宋体" w:eastAsia="宋体" w:cs="宋体"/>
                <w:kern w:val="0"/>
                <w:sz w:val="21"/>
                <w:szCs w:val="21"/>
                <w:lang w:bidi="ar"/>
              </w:rPr>
            </w:pPr>
            <w:r>
              <w:rPr>
                <w:rFonts w:hint="eastAsia" w:ascii="宋体" w:hAnsi="宋体" w:eastAsia="宋体" w:cs="宋体"/>
                <w:kern w:val="0"/>
                <w:sz w:val="21"/>
                <w:szCs w:val="21"/>
                <w:lang w:bidi="ar"/>
              </w:rPr>
              <w:t xml:space="preserve">0.00 </w:t>
            </w:r>
          </w:p>
        </w:tc>
        <w:tc>
          <w:tcPr>
            <w:tcW w:w="1065"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保证</w:t>
            </w:r>
          </w:p>
        </w:tc>
        <w:tc>
          <w:tcPr>
            <w:tcW w:w="1097" w:type="dxa"/>
            <w:vAlign w:val="center"/>
          </w:tcPr>
          <w:p>
            <w:pPr>
              <w:adjustRightInd w:val="0"/>
              <w:snapToGrid w:val="0"/>
              <w:spacing w:line="240" w:lineRule="auto"/>
              <w:ind w:firstLine="0" w:firstLineChars="0"/>
              <w:jc w:val="center"/>
              <w:rPr>
                <w:rFonts w:hAnsi="方正仿宋简体" w:cs="方正仿宋简体"/>
                <w:sz w:val="24"/>
                <w:szCs w:val="24"/>
              </w:rPr>
            </w:pPr>
            <w:r>
              <w:rPr>
                <w:rFonts w:hint="eastAsia" w:hAnsi="方正仿宋简体" w:cs="方正仿宋简体"/>
                <w:sz w:val="24"/>
                <w:szCs w:val="24"/>
              </w:rPr>
              <w:t>未诉</w:t>
            </w:r>
          </w:p>
        </w:tc>
        <w:tc>
          <w:tcPr>
            <w:tcW w:w="96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可疑类</w:t>
            </w:r>
          </w:p>
        </w:tc>
        <w:tc>
          <w:tcPr>
            <w:tcW w:w="1080" w:type="dxa"/>
            <w:vAlign w:val="center"/>
          </w:tcPr>
          <w:p>
            <w:pPr>
              <w:adjustRightInd w:val="0"/>
              <w:snapToGrid w:val="0"/>
              <w:spacing w:line="240" w:lineRule="auto"/>
              <w:ind w:firstLine="0" w:firstLineChars="0"/>
              <w:rPr>
                <w:rFonts w:hAnsi="方正仿宋简体" w:cs="方正仿宋简体"/>
                <w:sz w:val="24"/>
                <w:szCs w:val="24"/>
              </w:rPr>
            </w:pPr>
            <w:r>
              <w:rPr>
                <w:rFonts w:hint="eastAsia" w:hAnsi="方正仿宋简体" w:cs="方正仿宋简体"/>
                <w:sz w:val="24"/>
                <w:szCs w:val="24"/>
              </w:rPr>
              <w:t>福泉28户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4" w:type="dxa"/>
            <w:gridSpan w:val="2"/>
            <w:vAlign w:val="center"/>
          </w:tcPr>
          <w:p>
            <w:pPr>
              <w:widowControl/>
              <w:adjustRightInd w:val="0"/>
              <w:snapToGrid w:val="0"/>
              <w:spacing w:line="240" w:lineRule="auto"/>
              <w:ind w:firstLine="0" w:firstLineChars="0"/>
              <w:jc w:val="center"/>
              <w:textAlignment w:val="center"/>
              <w:rPr>
                <w:rFonts w:ascii="宋体" w:hAnsi="宋体" w:eastAsia="宋体" w:cs="宋体"/>
                <w:b/>
                <w:bCs/>
                <w:kern w:val="0"/>
                <w:sz w:val="20"/>
                <w:lang w:bidi="ar"/>
              </w:rPr>
            </w:pPr>
            <w:r>
              <w:rPr>
                <w:rFonts w:hint="eastAsia" w:ascii="宋体" w:hAnsi="宋体" w:eastAsia="宋体" w:cs="宋体"/>
                <w:b/>
                <w:bCs/>
                <w:kern w:val="0"/>
                <w:sz w:val="20"/>
                <w:lang w:bidi="ar"/>
              </w:rPr>
              <w:t>合计</w:t>
            </w:r>
          </w:p>
        </w:tc>
        <w:tc>
          <w:tcPr>
            <w:tcW w:w="1170" w:type="dxa"/>
            <w:vAlign w:val="center"/>
          </w:tcPr>
          <w:p>
            <w:pPr>
              <w:widowControl/>
              <w:adjustRightInd w:val="0"/>
              <w:snapToGrid w:val="0"/>
              <w:spacing w:line="240" w:lineRule="auto"/>
              <w:ind w:firstLine="0" w:firstLineChars="0"/>
              <w:textAlignment w:val="center"/>
              <w:rPr>
                <w:rFonts w:ascii="宋体" w:hAnsi="宋体" w:eastAsia="宋体" w:cs="宋体"/>
                <w:b/>
                <w:bCs/>
                <w:kern w:val="0"/>
                <w:sz w:val="21"/>
                <w:szCs w:val="21"/>
                <w:lang w:bidi="ar"/>
              </w:rPr>
            </w:pPr>
            <w:r>
              <w:rPr>
                <w:rFonts w:hint="eastAsia" w:ascii="宋体" w:hAnsi="宋体" w:eastAsia="宋体" w:cs="宋体"/>
                <w:b/>
                <w:bCs/>
                <w:kern w:val="0"/>
                <w:sz w:val="21"/>
                <w:szCs w:val="21"/>
                <w:lang w:bidi="ar"/>
              </w:rPr>
              <w:t xml:space="preserve">92,751,976.47 </w:t>
            </w:r>
          </w:p>
        </w:tc>
        <w:tc>
          <w:tcPr>
            <w:tcW w:w="1104" w:type="dxa"/>
            <w:vAlign w:val="center"/>
          </w:tcPr>
          <w:p>
            <w:pPr>
              <w:widowControl/>
              <w:adjustRightInd w:val="0"/>
              <w:snapToGrid w:val="0"/>
              <w:spacing w:line="240" w:lineRule="auto"/>
              <w:ind w:firstLine="0" w:firstLineChars="0"/>
              <w:textAlignment w:val="center"/>
              <w:rPr>
                <w:rFonts w:ascii="宋体" w:hAnsi="宋体" w:eastAsia="宋体" w:cs="宋体"/>
                <w:b/>
                <w:bCs/>
                <w:kern w:val="0"/>
                <w:sz w:val="21"/>
                <w:szCs w:val="21"/>
                <w:lang w:bidi="ar"/>
              </w:rPr>
            </w:pPr>
            <w:r>
              <w:rPr>
                <w:rFonts w:hint="eastAsia" w:ascii="宋体" w:hAnsi="宋体" w:eastAsia="宋体" w:cs="宋体"/>
                <w:b/>
                <w:bCs/>
                <w:kern w:val="0"/>
                <w:sz w:val="21"/>
                <w:szCs w:val="21"/>
                <w:lang w:bidi="ar"/>
              </w:rPr>
              <w:t xml:space="preserve">48,148,729.20 </w:t>
            </w:r>
          </w:p>
        </w:tc>
        <w:tc>
          <w:tcPr>
            <w:tcW w:w="987" w:type="dxa"/>
            <w:vAlign w:val="center"/>
          </w:tcPr>
          <w:p>
            <w:pPr>
              <w:widowControl/>
              <w:adjustRightInd w:val="0"/>
              <w:snapToGrid w:val="0"/>
              <w:spacing w:line="240" w:lineRule="auto"/>
              <w:ind w:firstLine="0" w:firstLineChars="0"/>
              <w:textAlignment w:val="center"/>
              <w:rPr>
                <w:rFonts w:ascii="宋体" w:hAnsi="宋体" w:eastAsia="宋体" w:cs="宋体"/>
                <w:b/>
                <w:bCs/>
                <w:kern w:val="0"/>
                <w:sz w:val="21"/>
                <w:szCs w:val="21"/>
                <w:lang w:bidi="ar"/>
              </w:rPr>
            </w:pPr>
            <w:r>
              <w:rPr>
                <w:rFonts w:hint="eastAsia" w:ascii="宋体" w:hAnsi="宋体" w:eastAsia="宋体" w:cs="宋体"/>
                <w:b/>
                <w:bCs/>
                <w:kern w:val="0"/>
                <w:sz w:val="18"/>
                <w:szCs w:val="18"/>
                <w:lang w:bidi="ar"/>
              </w:rPr>
              <w:t>881,029.50 （已退353,181.00元）</w:t>
            </w:r>
          </w:p>
        </w:tc>
        <w:tc>
          <w:tcPr>
            <w:tcW w:w="1065" w:type="dxa"/>
            <w:vAlign w:val="center"/>
          </w:tcPr>
          <w:p>
            <w:pPr>
              <w:adjustRightInd w:val="0"/>
              <w:snapToGrid w:val="0"/>
              <w:spacing w:line="240" w:lineRule="auto"/>
              <w:ind w:firstLine="482"/>
              <w:rPr>
                <w:rFonts w:hAnsi="方正仿宋简体" w:cs="方正仿宋简体"/>
                <w:b/>
                <w:bCs/>
                <w:sz w:val="24"/>
                <w:szCs w:val="24"/>
              </w:rPr>
            </w:pPr>
            <w:r>
              <w:rPr>
                <w:rFonts w:hint="eastAsia" w:hAnsi="方正仿宋简体" w:cs="方正仿宋简体"/>
                <w:b/>
                <w:bCs/>
                <w:sz w:val="24"/>
                <w:szCs w:val="24"/>
              </w:rPr>
              <w:t>-</w:t>
            </w:r>
          </w:p>
        </w:tc>
        <w:tc>
          <w:tcPr>
            <w:tcW w:w="1097" w:type="dxa"/>
            <w:vAlign w:val="center"/>
          </w:tcPr>
          <w:p>
            <w:pPr>
              <w:adjustRightInd w:val="0"/>
              <w:snapToGrid w:val="0"/>
              <w:spacing w:line="240" w:lineRule="auto"/>
              <w:ind w:firstLine="482"/>
              <w:rPr>
                <w:rFonts w:hAnsi="方正仿宋简体" w:cs="方正仿宋简体"/>
                <w:b/>
                <w:bCs/>
                <w:sz w:val="24"/>
                <w:szCs w:val="24"/>
              </w:rPr>
            </w:pPr>
            <w:r>
              <w:rPr>
                <w:rFonts w:hint="eastAsia" w:hAnsi="方正仿宋简体" w:cs="方正仿宋简体"/>
                <w:b/>
                <w:bCs/>
                <w:sz w:val="24"/>
                <w:szCs w:val="24"/>
              </w:rPr>
              <w:t>-</w:t>
            </w:r>
          </w:p>
        </w:tc>
        <w:tc>
          <w:tcPr>
            <w:tcW w:w="960" w:type="dxa"/>
            <w:vAlign w:val="center"/>
          </w:tcPr>
          <w:p>
            <w:pPr>
              <w:adjustRightInd w:val="0"/>
              <w:snapToGrid w:val="0"/>
              <w:spacing w:line="240" w:lineRule="auto"/>
              <w:ind w:firstLine="482"/>
              <w:rPr>
                <w:rFonts w:hAnsi="方正仿宋简体" w:cs="方正仿宋简体"/>
                <w:b/>
                <w:bCs/>
                <w:sz w:val="24"/>
                <w:szCs w:val="24"/>
              </w:rPr>
            </w:pPr>
            <w:r>
              <w:rPr>
                <w:rFonts w:hint="eastAsia" w:hAnsi="方正仿宋简体" w:cs="方正仿宋简体"/>
                <w:b/>
                <w:bCs/>
                <w:sz w:val="24"/>
                <w:szCs w:val="24"/>
              </w:rPr>
              <w:t>-</w:t>
            </w:r>
          </w:p>
        </w:tc>
        <w:tc>
          <w:tcPr>
            <w:tcW w:w="1080" w:type="dxa"/>
            <w:vAlign w:val="center"/>
          </w:tcPr>
          <w:p>
            <w:pPr>
              <w:adjustRightInd w:val="0"/>
              <w:snapToGrid w:val="0"/>
              <w:spacing w:line="240" w:lineRule="auto"/>
              <w:ind w:firstLine="482"/>
              <w:rPr>
                <w:rFonts w:hAnsi="方正仿宋简体" w:cs="方正仿宋简体"/>
                <w:b/>
                <w:bCs/>
                <w:sz w:val="24"/>
                <w:szCs w:val="24"/>
              </w:rPr>
            </w:pPr>
            <w:r>
              <w:rPr>
                <w:rFonts w:hint="eastAsia" w:hAnsi="方正仿宋简体" w:cs="方正仿宋简体"/>
                <w:b/>
                <w:bCs/>
                <w:sz w:val="24"/>
                <w:szCs w:val="24"/>
              </w:rPr>
              <w:t>-</w:t>
            </w:r>
          </w:p>
        </w:tc>
      </w:tr>
    </w:tbl>
    <w:p>
      <w:pPr>
        <w:pStyle w:val="3"/>
        <w:adjustRightInd w:val="0"/>
        <w:snapToGrid w:val="0"/>
        <w:spacing w:line="240" w:lineRule="auto"/>
      </w:pPr>
      <w:bookmarkStart w:id="2" w:name="_Toc8879"/>
      <w:r>
        <w:rPr>
          <w:rFonts w:hint="eastAsia"/>
        </w:rPr>
        <w:t>（二）债权基本情况</w:t>
      </w:r>
      <w:bookmarkEnd w:id="1"/>
      <w:bookmarkEnd w:id="2"/>
    </w:p>
    <w:p>
      <w:pPr>
        <w:ind w:firstLine="707" w:firstLineChars="220"/>
        <w:rPr>
          <w:rFonts w:hAnsi="仿宋" w:cs="宋体"/>
          <w:b/>
          <w:bCs/>
          <w:szCs w:val="32"/>
        </w:rPr>
      </w:pPr>
      <w:bookmarkStart w:id="3" w:name="_Toc101092320"/>
      <w:r>
        <w:rPr>
          <w:rFonts w:hint="eastAsia" w:hAnsi="仿宋" w:cs="宋体"/>
          <w:b/>
          <w:bCs/>
          <w:szCs w:val="32"/>
        </w:rPr>
        <w:t>第1-3户：贵州中亚彩印包装责任公司、瓮安县永隆印务有限责任公司、瓮安天恒贸易有限公司等3户债权。</w:t>
      </w:r>
    </w:p>
    <w:p>
      <w:pPr>
        <w:ind w:firstLine="707" w:firstLineChars="220"/>
        <w:rPr>
          <w:rFonts w:hAnsi="仿宋" w:cs="宋体"/>
          <w:b/>
          <w:bCs/>
          <w:szCs w:val="32"/>
        </w:rPr>
      </w:pPr>
      <w:r>
        <w:rPr>
          <w:rFonts w:hint="eastAsia" w:hAnsi="仿宋" w:cs="宋体"/>
          <w:b/>
          <w:bCs/>
          <w:szCs w:val="32"/>
        </w:rPr>
        <w:t>1.债权基本情况</w:t>
      </w:r>
    </w:p>
    <w:p>
      <w:pPr>
        <w:ind w:firstLine="704" w:firstLineChars="220"/>
        <w:rPr>
          <w:rFonts w:hAnsi="仿宋" w:cs="宋体"/>
          <w:szCs w:val="32"/>
        </w:rPr>
      </w:pPr>
      <w:r>
        <w:rPr>
          <w:rFonts w:hint="eastAsia" w:hAnsi="仿宋" w:cs="宋体"/>
          <w:szCs w:val="32"/>
        </w:rPr>
        <w:t>（1）该3户债权抵押物相同，即三户债权的抵押物属于同一抵押物，从银行接收该3户债权时，截止接收基准日2019年9月30日，本金余额40,629,700.00元，利息余额2,295,066.06元。截止本次处置准日2022年12月31日，本金余额40,629,700.00元，利息余额15,095,653.48 元，代垫费用42,611.00元（原金额395,792.00元，</w:t>
      </w:r>
      <w:r>
        <w:rPr>
          <w:rFonts w:hint="eastAsia"/>
          <w:szCs w:val="22"/>
        </w:rPr>
        <w:t>已退还353,181.00元</w:t>
      </w:r>
      <w:r>
        <w:rPr>
          <w:rFonts w:hint="eastAsia" w:hAnsi="仿宋" w:cs="宋体"/>
          <w:szCs w:val="32"/>
        </w:rPr>
        <w:t xml:space="preserve">）。具体来看，截止本次处置准日2022年12月31日，瓮安县永隆印务有限责任公司债权，本金余额17,429,700.00 元，利息余额6,182,276.04  元，代垫费用24,349.00元（原金额161,943.00 元，已退还137,594.00元）；贵州中亚彩印包装有限公司债权，截止本次处置准日2022年12月31日，本金余额18,000,000.00 元，利息余额6,103,345.90  元，代垫费用9,682.00元（原金额166,254.00 元，已退还156,572.00元）；翁安天恒贸易有限公司债权，截止本次处置准日2022年12月31日，本金余额5,200,000.00 元，利息余额2,810,031.54 元，代垫费用8,580.00元（原金额67,595.00 元，已退还59,015.00元）。截止上报本方案时，上述3户债权已处置金额为0元。 </w:t>
      </w:r>
    </w:p>
    <w:p>
      <w:pPr>
        <w:ind w:firstLine="704" w:firstLineChars="220"/>
        <w:rPr>
          <w:rFonts w:hAnsi="仿宋" w:cs="宋体"/>
          <w:szCs w:val="32"/>
        </w:rPr>
      </w:pPr>
      <w:r>
        <w:rPr>
          <w:rFonts w:hint="eastAsia" w:hAnsi="仿宋" w:cs="宋体"/>
          <w:szCs w:val="32"/>
        </w:rPr>
        <w:t>（2）上述3户债权债务人均于2018年12月10日与瓮安农商行签订借款合同，分别为：合同编号为24550500201800067的《借款合同》，约定借款金额为人民币1750万元；合同编号为24550500201800064的《借款合同》，约定借款金额为人民币1800万元；合同编号为24550500201800070的《借款合同》，约定借款金额为人民币520万元。同时，贵州中亚彩印包装有限公司（以下简称“中亚彩印公司”）与瓮安农商行签订合同编号分别为24550500201800067-01、24550500201800064-01、24550500201800070-01三份《抵押合同》，以名下位于贵州省瓮安县银盏镇太平村中堡房产为上述3户债权的《借款合同》项下的债权提供抵押担保。</w:t>
      </w:r>
    </w:p>
    <w:p>
      <w:pPr>
        <w:ind w:firstLine="707" w:firstLineChars="220"/>
        <w:rPr>
          <w:rFonts w:hAnsi="仿宋" w:cs="宋体"/>
          <w:b/>
          <w:bCs/>
          <w:szCs w:val="32"/>
        </w:rPr>
      </w:pPr>
      <w:r>
        <w:rPr>
          <w:rFonts w:hint="eastAsia" w:hAnsi="仿宋" w:cs="宋体"/>
          <w:b/>
          <w:bCs/>
          <w:szCs w:val="32"/>
          <w:lang w:val="en-US" w:eastAsia="zh-CN"/>
        </w:rPr>
        <w:t>2</w:t>
      </w:r>
      <w:r>
        <w:rPr>
          <w:rFonts w:hint="eastAsia" w:hAnsi="仿宋" w:cs="宋体"/>
          <w:b/>
          <w:bCs/>
          <w:szCs w:val="32"/>
        </w:rPr>
        <w:t>.债权担保情况</w:t>
      </w:r>
    </w:p>
    <w:p>
      <w:pPr>
        <w:snapToGrid w:val="0"/>
        <w:ind w:firstLine="643"/>
        <w:rPr>
          <w:rFonts w:hAnsi="仿宋" w:cs="宋体"/>
          <w:b/>
          <w:bCs/>
          <w:szCs w:val="32"/>
        </w:rPr>
      </w:pPr>
      <w:r>
        <w:rPr>
          <w:rFonts w:hint="eastAsia" w:hAnsi="仿宋" w:cs="宋体"/>
          <w:b/>
          <w:bCs/>
          <w:szCs w:val="32"/>
        </w:rPr>
        <w:t>（1）抵押担保情况</w:t>
      </w:r>
    </w:p>
    <w:tbl>
      <w:tblPr>
        <w:tblStyle w:val="17"/>
        <w:tblpPr w:leftFromText="180" w:rightFromText="180" w:vertAnchor="text" w:horzAnchor="page" w:tblpXSpec="center" w:tblpY="294"/>
        <w:tblOverlap w:val="never"/>
        <w:tblW w:w="94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831"/>
        <w:gridCol w:w="915"/>
        <w:gridCol w:w="1038"/>
        <w:gridCol w:w="1478"/>
        <w:gridCol w:w="1077"/>
        <w:gridCol w:w="789"/>
        <w:gridCol w:w="840"/>
        <w:gridCol w:w="990"/>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10"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序号</w:t>
            </w:r>
          </w:p>
        </w:tc>
        <w:tc>
          <w:tcPr>
            <w:tcW w:w="831"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债务人</w:t>
            </w:r>
          </w:p>
        </w:tc>
        <w:tc>
          <w:tcPr>
            <w:tcW w:w="915"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抵押人</w:t>
            </w:r>
          </w:p>
        </w:tc>
        <w:tc>
          <w:tcPr>
            <w:tcW w:w="1038"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抵押合同签订日期</w:t>
            </w:r>
          </w:p>
        </w:tc>
        <w:tc>
          <w:tcPr>
            <w:tcW w:w="1478"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抵押合同编号</w:t>
            </w:r>
          </w:p>
        </w:tc>
        <w:tc>
          <w:tcPr>
            <w:tcW w:w="1077"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抵押物</w:t>
            </w:r>
          </w:p>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位置</w:t>
            </w:r>
          </w:p>
        </w:tc>
        <w:tc>
          <w:tcPr>
            <w:tcW w:w="789"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抵押物性质</w:t>
            </w:r>
          </w:p>
        </w:tc>
        <w:tc>
          <w:tcPr>
            <w:tcW w:w="840"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面积（㎡）</w:t>
            </w:r>
          </w:p>
        </w:tc>
        <w:tc>
          <w:tcPr>
            <w:tcW w:w="990"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担保</w:t>
            </w:r>
          </w:p>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金额</w:t>
            </w:r>
          </w:p>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（万元）</w:t>
            </w:r>
          </w:p>
        </w:tc>
        <w:tc>
          <w:tcPr>
            <w:tcW w:w="945"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抵押登记情况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10"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1</w:t>
            </w:r>
          </w:p>
          <w:p>
            <w:pPr>
              <w:adjustRightInd w:val="0"/>
              <w:snapToGrid w:val="0"/>
              <w:spacing w:line="240" w:lineRule="auto"/>
              <w:ind w:firstLine="0" w:firstLineChars="0"/>
              <w:jc w:val="center"/>
              <w:rPr>
                <w:rFonts w:ascii="仿宋" w:hAnsi="仿宋" w:eastAsia="仿宋" w:cs="仿宋"/>
                <w:sz w:val="21"/>
                <w:szCs w:val="21"/>
              </w:rPr>
            </w:pPr>
          </w:p>
        </w:tc>
        <w:tc>
          <w:tcPr>
            <w:tcW w:w="831"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中亚彩印公司</w:t>
            </w:r>
          </w:p>
        </w:tc>
        <w:tc>
          <w:tcPr>
            <w:tcW w:w="915"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中亚彩印公司</w:t>
            </w:r>
          </w:p>
        </w:tc>
        <w:tc>
          <w:tcPr>
            <w:tcW w:w="1038"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2018/12/10</w:t>
            </w:r>
          </w:p>
        </w:tc>
        <w:tc>
          <w:tcPr>
            <w:tcW w:w="1478"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24550500201800064-01</w:t>
            </w:r>
          </w:p>
        </w:tc>
        <w:tc>
          <w:tcPr>
            <w:tcW w:w="1077" w:type="dxa"/>
            <w:vMerge w:val="restart"/>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贵州省瓮安县银盏镇太平村中堡</w:t>
            </w:r>
          </w:p>
        </w:tc>
        <w:tc>
          <w:tcPr>
            <w:tcW w:w="789" w:type="dxa"/>
            <w:vMerge w:val="restart"/>
            <w:vAlign w:val="center"/>
          </w:tcPr>
          <w:p>
            <w:pPr>
              <w:tabs>
                <w:tab w:val="left" w:pos="266"/>
              </w:tabs>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房屋</w:t>
            </w:r>
          </w:p>
        </w:tc>
        <w:tc>
          <w:tcPr>
            <w:tcW w:w="840" w:type="dxa"/>
            <w:vMerge w:val="restart"/>
            <w:vAlign w:val="center"/>
          </w:tcPr>
          <w:p>
            <w:pPr>
              <w:tabs>
                <w:tab w:val="left" w:pos="266"/>
              </w:tabs>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10389.03</w:t>
            </w:r>
          </w:p>
        </w:tc>
        <w:tc>
          <w:tcPr>
            <w:tcW w:w="990" w:type="dxa"/>
            <w:vAlign w:val="center"/>
          </w:tcPr>
          <w:p>
            <w:pPr>
              <w:tabs>
                <w:tab w:val="left" w:pos="266"/>
              </w:tabs>
              <w:adjustRightInd w:val="0"/>
              <w:snapToGrid w:val="0"/>
              <w:spacing w:line="240" w:lineRule="auto"/>
              <w:ind w:firstLine="105" w:firstLineChars="50"/>
              <w:jc w:val="center"/>
              <w:rPr>
                <w:rFonts w:ascii="仿宋" w:hAnsi="仿宋" w:eastAsia="仿宋" w:cs="仿宋"/>
                <w:sz w:val="21"/>
                <w:szCs w:val="21"/>
              </w:rPr>
            </w:pPr>
            <w:r>
              <w:rPr>
                <w:rFonts w:hint="eastAsia" w:ascii="仿宋" w:hAnsi="仿宋" w:eastAsia="仿宋" w:cs="仿宋"/>
                <w:sz w:val="21"/>
                <w:szCs w:val="21"/>
              </w:rPr>
              <w:t>1800</w:t>
            </w:r>
          </w:p>
        </w:tc>
        <w:tc>
          <w:tcPr>
            <w:tcW w:w="945" w:type="dxa"/>
            <w:vMerge w:val="restart"/>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已办理抵押登记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10"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2</w:t>
            </w:r>
          </w:p>
        </w:tc>
        <w:tc>
          <w:tcPr>
            <w:tcW w:w="831"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永隆印务公司</w:t>
            </w:r>
          </w:p>
        </w:tc>
        <w:tc>
          <w:tcPr>
            <w:tcW w:w="915"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中亚彩印公司</w:t>
            </w:r>
          </w:p>
        </w:tc>
        <w:tc>
          <w:tcPr>
            <w:tcW w:w="1038"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2018/12/10</w:t>
            </w:r>
          </w:p>
        </w:tc>
        <w:tc>
          <w:tcPr>
            <w:tcW w:w="1478"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24550500201800067-01</w:t>
            </w:r>
          </w:p>
        </w:tc>
        <w:tc>
          <w:tcPr>
            <w:tcW w:w="1077"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789" w:type="dxa"/>
            <w:vMerge w:val="continue"/>
            <w:vAlign w:val="center"/>
          </w:tcPr>
          <w:p>
            <w:pPr>
              <w:tabs>
                <w:tab w:val="left" w:pos="266"/>
              </w:tabs>
              <w:adjustRightInd w:val="0"/>
              <w:snapToGrid w:val="0"/>
              <w:spacing w:line="240" w:lineRule="auto"/>
              <w:ind w:firstLine="0" w:firstLineChars="0"/>
              <w:jc w:val="center"/>
              <w:rPr>
                <w:rFonts w:ascii="仿宋" w:hAnsi="仿宋" w:eastAsia="仿宋" w:cs="仿宋"/>
                <w:sz w:val="21"/>
                <w:szCs w:val="21"/>
              </w:rPr>
            </w:pPr>
          </w:p>
        </w:tc>
        <w:tc>
          <w:tcPr>
            <w:tcW w:w="840" w:type="dxa"/>
            <w:vMerge w:val="continue"/>
            <w:vAlign w:val="center"/>
          </w:tcPr>
          <w:p>
            <w:pPr>
              <w:tabs>
                <w:tab w:val="left" w:pos="266"/>
              </w:tabs>
              <w:adjustRightInd w:val="0"/>
              <w:snapToGrid w:val="0"/>
              <w:spacing w:line="240" w:lineRule="auto"/>
              <w:ind w:firstLine="0" w:firstLineChars="0"/>
              <w:jc w:val="center"/>
              <w:rPr>
                <w:rFonts w:ascii="仿宋" w:hAnsi="仿宋" w:eastAsia="仿宋" w:cs="仿宋"/>
                <w:sz w:val="21"/>
                <w:szCs w:val="21"/>
              </w:rPr>
            </w:pPr>
          </w:p>
        </w:tc>
        <w:tc>
          <w:tcPr>
            <w:tcW w:w="990" w:type="dxa"/>
            <w:vAlign w:val="center"/>
          </w:tcPr>
          <w:p>
            <w:pPr>
              <w:tabs>
                <w:tab w:val="left" w:pos="266"/>
              </w:tabs>
              <w:adjustRightInd w:val="0"/>
              <w:snapToGrid w:val="0"/>
              <w:spacing w:line="240" w:lineRule="auto"/>
              <w:ind w:firstLine="105" w:firstLineChars="50"/>
              <w:jc w:val="center"/>
              <w:rPr>
                <w:rFonts w:ascii="仿宋" w:hAnsi="仿宋" w:eastAsia="仿宋" w:cs="仿宋"/>
                <w:sz w:val="21"/>
                <w:szCs w:val="21"/>
              </w:rPr>
            </w:pPr>
            <w:r>
              <w:rPr>
                <w:rFonts w:hint="eastAsia" w:ascii="仿宋" w:hAnsi="仿宋" w:eastAsia="仿宋" w:cs="仿宋"/>
                <w:sz w:val="21"/>
                <w:szCs w:val="21"/>
              </w:rPr>
              <w:t>1750</w:t>
            </w:r>
          </w:p>
        </w:tc>
        <w:tc>
          <w:tcPr>
            <w:tcW w:w="945"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10"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3</w:t>
            </w:r>
          </w:p>
        </w:tc>
        <w:tc>
          <w:tcPr>
            <w:tcW w:w="831"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天恒贸易公司</w:t>
            </w:r>
          </w:p>
        </w:tc>
        <w:tc>
          <w:tcPr>
            <w:tcW w:w="915"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中亚彩印公司</w:t>
            </w:r>
          </w:p>
        </w:tc>
        <w:tc>
          <w:tcPr>
            <w:tcW w:w="1038"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2018/12/10</w:t>
            </w:r>
          </w:p>
        </w:tc>
        <w:tc>
          <w:tcPr>
            <w:tcW w:w="1478"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24550500201800070-01</w:t>
            </w:r>
          </w:p>
        </w:tc>
        <w:tc>
          <w:tcPr>
            <w:tcW w:w="1077"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789" w:type="dxa"/>
            <w:vMerge w:val="continue"/>
            <w:vAlign w:val="center"/>
          </w:tcPr>
          <w:p>
            <w:pPr>
              <w:tabs>
                <w:tab w:val="left" w:pos="266"/>
              </w:tabs>
              <w:adjustRightInd w:val="0"/>
              <w:snapToGrid w:val="0"/>
              <w:spacing w:line="240" w:lineRule="auto"/>
              <w:ind w:firstLine="0" w:firstLineChars="0"/>
              <w:jc w:val="center"/>
              <w:rPr>
                <w:rFonts w:ascii="仿宋" w:hAnsi="仿宋" w:eastAsia="仿宋" w:cs="仿宋"/>
                <w:sz w:val="21"/>
                <w:szCs w:val="21"/>
              </w:rPr>
            </w:pPr>
          </w:p>
        </w:tc>
        <w:tc>
          <w:tcPr>
            <w:tcW w:w="840" w:type="dxa"/>
            <w:vMerge w:val="continue"/>
            <w:vAlign w:val="center"/>
          </w:tcPr>
          <w:p>
            <w:pPr>
              <w:tabs>
                <w:tab w:val="left" w:pos="266"/>
              </w:tabs>
              <w:adjustRightInd w:val="0"/>
              <w:snapToGrid w:val="0"/>
              <w:spacing w:line="240" w:lineRule="auto"/>
              <w:ind w:firstLine="0" w:firstLineChars="0"/>
              <w:jc w:val="center"/>
              <w:rPr>
                <w:rFonts w:ascii="仿宋" w:hAnsi="仿宋" w:eastAsia="仿宋" w:cs="仿宋"/>
                <w:sz w:val="21"/>
                <w:szCs w:val="21"/>
              </w:rPr>
            </w:pPr>
          </w:p>
        </w:tc>
        <w:tc>
          <w:tcPr>
            <w:tcW w:w="990" w:type="dxa"/>
            <w:vAlign w:val="center"/>
          </w:tcPr>
          <w:p>
            <w:pPr>
              <w:tabs>
                <w:tab w:val="left" w:pos="266"/>
              </w:tabs>
              <w:adjustRightInd w:val="0"/>
              <w:snapToGrid w:val="0"/>
              <w:spacing w:line="240" w:lineRule="auto"/>
              <w:ind w:firstLine="105" w:firstLineChars="50"/>
              <w:jc w:val="center"/>
              <w:rPr>
                <w:rFonts w:ascii="仿宋" w:hAnsi="仿宋" w:eastAsia="仿宋" w:cs="仿宋"/>
                <w:sz w:val="21"/>
                <w:szCs w:val="21"/>
              </w:rPr>
            </w:pPr>
            <w:r>
              <w:rPr>
                <w:rFonts w:hint="eastAsia" w:ascii="仿宋" w:hAnsi="仿宋" w:eastAsia="仿宋" w:cs="仿宋"/>
                <w:sz w:val="21"/>
                <w:szCs w:val="21"/>
              </w:rPr>
              <w:t>520</w:t>
            </w:r>
          </w:p>
        </w:tc>
        <w:tc>
          <w:tcPr>
            <w:tcW w:w="945"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r>
    </w:tbl>
    <w:p>
      <w:pPr>
        <w:adjustRightInd w:val="0"/>
        <w:snapToGrid w:val="0"/>
        <w:spacing w:line="240" w:lineRule="auto"/>
        <w:ind w:firstLine="704" w:firstLineChars="220"/>
        <w:rPr>
          <w:rFonts w:hAnsi="仿宋" w:cs="宋体"/>
          <w:szCs w:val="32"/>
        </w:rPr>
      </w:pPr>
      <w:r>
        <w:rPr>
          <w:rFonts w:hint="eastAsia" w:hAnsi="仿宋" w:cs="宋体"/>
          <w:szCs w:val="32"/>
        </w:rPr>
        <w:t>抵押登记情况如下：</w:t>
      </w:r>
    </w:p>
    <w:tbl>
      <w:tblPr>
        <w:tblStyle w:val="17"/>
        <w:tblpPr w:leftFromText="180" w:rightFromText="180" w:vertAnchor="text" w:horzAnchor="page" w:tblpXSpec="center" w:tblpY="294"/>
        <w:tblOverlap w:val="never"/>
        <w:tblW w:w="94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754"/>
        <w:gridCol w:w="560"/>
        <w:gridCol w:w="794"/>
        <w:gridCol w:w="1646"/>
        <w:gridCol w:w="1132"/>
        <w:gridCol w:w="994"/>
        <w:gridCol w:w="1457"/>
        <w:gridCol w:w="720"/>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3"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序号</w:t>
            </w:r>
          </w:p>
        </w:tc>
        <w:tc>
          <w:tcPr>
            <w:tcW w:w="754"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债务人</w:t>
            </w:r>
          </w:p>
        </w:tc>
        <w:tc>
          <w:tcPr>
            <w:tcW w:w="560"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抵押人</w:t>
            </w:r>
          </w:p>
        </w:tc>
        <w:tc>
          <w:tcPr>
            <w:tcW w:w="794"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抵押权人</w:t>
            </w:r>
          </w:p>
        </w:tc>
        <w:tc>
          <w:tcPr>
            <w:tcW w:w="1646"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不动产单元号</w:t>
            </w:r>
          </w:p>
        </w:tc>
        <w:tc>
          <w:tcPr>
            <w:tcW w:w="1132"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抵押物位置</w:t>
            </w:r>
          </w:p>
        </w:tc>
        <w:tc>
          <w:tcPr>
            <w:tcW w:w="994"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面积（㎡）</w:t>
            </w:r>
          </w:p>
        </w:tc>
        <w:tc>
          <w:tcPr>
            <w:tcW w:w="1457"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抵押权属证明</w:t>
            </w:r>
          </w:p>
        </w:tc>
        <w:tc>
          <w:tcPr>
            <w:tcW w:w="720"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顺位</w:t>
            </w:r>
          </w:p>
        </w:tc>
        <w:tc>
          <w:tcPr>
            <w:tcW w:w="789" w:type="dxa"/>
            <w:shd w:val="clear" w:color="auto" w:fill="BEBEBE"/>
            <w:vAlign w:val="center"/>
          </w:tcPr>
          <w:p>
            <w:pPr>
              <w:adjustRightInd w:val="0"/>
              <w:snapToGrid w:val="0"/>
              <w:spacing w:line="240" w:lineRule="auto"/>
              <w:ind w:firstLine="0" w:firstLineChars="0"/>
              <w:jc w:val="center"/>
              <w:rPr>
                <w:rFonts w:ascii="仿宋" w:hAnsi="仿宋" w:eastAsia="仿宋" w:cs="仿宋"/>
                <w:b/>
                <w:bCs/>
                <w:sz w:val="24"/>
                <w:szCs w:val="24"/>
              </w:rPr>
            </w:pPr>
            <w:r>
              <w:rPr>
                <w:rFonts w:hint="eastAsia" w:ascii="仿宋" w:hAnsi="仿宋" w:eastAsia="仿宋" w:cs="仿宋"/>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jc w:val="center"/>
        </w:trPr>
        <w:tc>
          <w:tcPr>
            <w:tcW w:w="583"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1</w:t>
            </w:r>
          </w:p>
          <w:p>
            <w:pPr>
              <w:adjustRightInd w:val="0"/>
              <w:snapToGrid w:val="0"/>
              <w:spacing w:line="240" w:lineRule="auto"/>
              <w:ind w:firstLine="0" w:firstLineChars="0"/>
              <w:jc w:val="center"/>
              <w:rPr>
                <w:rFonts w:ascii="仿宋" w:hAnsi="仿宋" w:eastAsia="仿宋" w:cs="仿宋"/>
                <w:sz w:val="21"/>
                <w:szCs w:val="21"/>
              </w:rPr>
            </w:pPr>
          </w:p>
        </w:tc>
        <w:tc>
          <w:tcPr>
            <w:tcW w:w="754"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中亚彩印公司</w:t>
            </w:r>
          </w:p>
        </w:tc>
        <w:tc>
          <w:tcPr>
            <w:tcW w:w="560" w:type="dxa"/>
            <w:vMerge w:val="restart"/>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中亚彩印公司</w:t>
            </w:r>
          </w:p>
        </w:tc>
        <w:tc>
          <w:tcPr>
            <w:tcW w:w="794" w:type="dxa"/>
            <w:vMerge w:val="restart"/>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瓮安农商行</w:t>
            </w:r>
          </w:p>
        </w:tc>
        <w:tc>
          <w:tcPr>
            <w:tcW w:w="1646" w:type="dxa"/>
            <w:vMerge w:val="restart"/>
            <w:vAlign w:val="center"/>
          </w:tcPr>
          <w:p>
            <w:pPr>
              <w:adjustRightInd w:val="0"/>
              <w:snapToGrid w:val="0"/>
              <w:spacing w:line="240" w:lineRule="auto"/>
              <w:ind w:firstLine="0" w:firstLineChars="0"/>
              <w:jc w:val="center"/>
              <w:rPr>
                <w:rFonts w:ascii="仿宋" w:hAnsi="仿宋" w:eastAsia="仿宋" w:cs="仿宋"/>
                <w:sz w:val="21"/>
                <w:szCs w:val="21"/>
              </w:rPr>
            </w:pPr>
            <w:bookmarkStart w:id="4" w:name="OLE_LINK2"/>
            <w:bookmarkStart w:id="5" w:name="OLE_LINK1"/>
            <w:r>
              <w:rPr>
                <w:rFonts w:hint="eastAsia" w:ascii="仿宋" w:hAnsi="仿宋" w:eastAsia="仿宋" w:cs="仿宋"/>
                <w:sz w:val="21"/>
                <w:szCs w:val="21"/>
              </w:rPr>
              <w:t>瓮房权证银盏镇字第</w:t>
            </w:r>
            <w:bookmarkEnd w:id="4"/>
            <w:bookmarkStart w:id="6" w:name="OLE_LINK12"/>
            <w:bookmarkStart w:id="7" w:name="OLE_LINK8"/>
            <w:r>
              <w:rPr>
                <w:rFonts w:hint="eastAsia" w:ascii="仿宋" w:hAnsi="仿宋" w:eastAsia="仿宋" w:cs="仿宋"/>
                <w:sz w:val="21"/>
                <w:szCs w:val="21"/>
              </w:rPr>
              <w:t>201505</w:t>
            </w:r>
            <w:bookmarkEnd w:id="6"/>
            <w:r>
              <w:rPr>
                <w:rFonts w:hint="eastAsia" w:ascii="仿宋" w:hAnsi="仿宋" w:eastAsia="仿宋" w:cs="仿宋"/>
                <w:sz w:val="21"/>
                <w:szCs w:val="21"/>
              </w:rPr>
              <w:t>437</w:t>
            </w:r>
            <w:bookmarkEnd w:id="7"/>
            <w:r>
              <w:rPr>
                <w:rFonts w:hint="eastAsia" w:ascii="仿宋" w:hAnsi="仿宋" w:eastAsia="仿宋" w:cs="仿宋"/>
                <w:sz w:val="21"/>
                <w:szCs w:val="21"/>
              </w:rPr>
              <w:t>、201505438、201505439、201505440、201505481号</w:t>
            </w:r>
            <w:bookmarkEnd w:id="5"/>
            <w:r>
              <w:rPr>
                <w:rFonts w:hint="eastAsia" w:ascii="仿宋" w:hAnsi="仿宋" w:eastAsia="仿宋" w:cs="仿宋"/>
                <w:sz w:val="21"/>
                <w:szCs w:val="21"/>
              </w:rPr>
              <w:t>和瓮房权证银盏镇字第201507374、201507193号</w:t>
            </w:r>
          </w:p>
        </w:tc>
        <w:tc>
          <w:tcPr>
            <w:tcW w:w="1132" w:type="dxa"/>
            <w:vMerge w:val="restart"/>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贵州省瓮安县银盏镇太平村中堡</w:t>
            </w:r>
          </w:p>
        </w:tc>
        <w:tc>
          <w:tcPr>
            <w:tcW w:w="994" w:type="dxa"/>
            <w:vMerge w:val="restart"/>
            <w:vAlign w:val="center"/>
          </w:tcPr>
          <w:p>
            <w:pPr>
              <w:tabs>
                <w:tab w:val="left" w:pos="266"/>
              </w:tabs>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10389.03</w:t>
            </w:r>
          </w:p>
        </w:tc>
        <w:tc>
          <w:tcPr>
            <w:tcW w:w="1457" w:type="dxa"/>
            <w:vMerge w:val="restart"/>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黔（2018）瓮安县不动产证明第0010277号</w:t>
            </w:r>
          </w:p>
        </w:tc>
        <w:tc>
          <w:tcPr>
            <w:tcW w:w="720" w:type="dxa"/>
            <w:vMerge w:val="restart"/>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3户债权同时办理抵押，均为第一顺位</w:t>
            </w:r>
          </w:p>
        </w:tc>
        <w:tc>
          <w:tcPr>
            <w:tcW w:w="789" w:type="dxa"/>
            <w:vMerge w:val="restart"/>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有查封（本债权）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jc w:val="center"/>
        </w:trPr>
        <w:tc>
          <w:tcPr>
            <w:tcW w:w="583"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2</w:t>
            </w:r>
          </w:p>
        </w:tc>
        <w:tc>
          <w:tcPr>
            <w:tcW w:w="754"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永隆印务公司</w:t>
            </w:r>
          </w:p>
        </w:tc>
        <w:tc>
          <w:tcPr>
            <w:tcW w:w="560"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794"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1646"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1132"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994" w:type="dxa"/>
            <w:vMerge w:val="continue"/>
            <w:vAlign w:val="center"/>
          </w:tcPr>
          <w:p>
            <w:pPr>
              <w:tabs>
                <w:tab w:val="left" w:pos="266"/>
              </w:tabs>
              <w:adjustRightInd w:val="0"/>
              <w:snapToGrid w:val="0"/>
              <w:spacing w:line="240" w:lineRule="auto"/>
              <w:ind w:firstLine="0" w:firstLineChars="0"/>
              <w:jc w:val="center"/>
              <w:rPr>
                <w:rFonts w:ascii="仿宋" w:hAnsi="仿宋" w:eastAsia="仿宋" w:cs="仿宋"/>
                <w:sz w:val="21"/>
                <w:szCs w:val="21"/>
              </w:rPr>
            </w:pPr>
          </w:p>
        </w:tc>
        <w:tc>
          <w:tcPr>
            <w:tcW w:w="1457"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720"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789"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jc w:val="center"/>
        </w:trPr>
        <w:tc>
          <w:tcPr>
            <w:tcW w:w="583"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3</w:t>
            </w:r>
          </w:p>
        </w:tc>
        <w:tc>
          <w:tcPr>
            <w:tcW w:w="754" w:type="dxa"/>
            <w:vAlign w:val="center"/>
          </w:tcPr>
          <w:p>
            <w:pPr>
              <w:adjustRightInd w:val="0"/>
              <w:snapToGrid w:val="0"/>
              <w:spacing w:line="240" w:lineRule="auto"/>
              <w:ind w:firstLine="0" w:firstLineChars="0"/>
              <w:jc w:val="center"/>
              <w:rPr>
                <w:rFonts w:ascii="仿宋" w:hAnsi="仿宋" w:eastAsia="仿宋" w:cs="仿宋"/>
                <w:sz w:val="21"/>
                <w:szCs w:val="21"/>
              </w:rPr>
            </w:pPr>
            <w:r>
              <w:rPr>
                <w:rFonts w:hint="eastAsia" w:ascii="仿宋" w:hAnsi="仿宋" w:eastAsia="仿宋" w:cs="仿宋"/>
                <w:sz w:val="21"/>
                <w:szCs w:val="21"/>
              </w:rPr>
              <w:t>天恒贸易公司</w:t>
            </w:r>
          </w:p>
        </w:tc>
        <w:tc>
          <w:tcPr>
            <w:tcW w:w="560"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794"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1646"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1132"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994" w:type="dxa"/>
            <w:vMerge w:val="continue"/>
            <w:vAlign w:val="center"/>
          </w:tcPr>
          <w:p>
            <w:pPr>
              <w:tabs>
                <w:tab w:val="left" w:pos="266"/>
              </w:tabs>
              <w:adjustRightInd w:val="0"/>
              <w:snapToGrid w:val="0"/>
              <w:spacing w:line="240" w:lineRule="auto"/>
              <w:ind w:firstLine="0" w:firstLineChars="0"/>
              <w:jc w:val="center"/>
              <w:rPr>
                <w:rFonts w:ascii="仿宋" w:hAnsi="仿宋" w:eastAsia="仿宋" w:cs="仿宋"/>
                <w:sz w:val="21"/>
                <w:szCs w:val="21"/>
              </w:rPr>
            </w:pPr>
          </w:p>
        </w:tc>
        <w:tc>
          <w:tcPr>
            <w:tcW w:w="1457"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720"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c>
          <w:tcPr>
            <w:tcW w:w="789" w:type="dxa"/>
            <w:vMerge w:val="continue"/>
            <w:vAlign w:val="center"/>
          </w:tcPr>
          <w:p>
            <w:pPr>
              <w:adjustRightInd w:val="0"/>
              <w:snapToGrid w:val="0"/>
              <w:spacing w:line="240" w:lineRule="auto"/>
              <w:ind w:firstLine="0" w:firstLineChars="0"/>
              <w:jc w:val="center"/>
              <w:rPr>
                <w:rFonts w:ascii="仿宋" w:hAnsi="仿宋" w:eastAsia="仿宋" w:cs="仿宋"/>
                <w:sz w:val="21"/>
                <w:szCs w:val="21"/>
              </w:rPr>
            </w:pPr>
          </w:p>
        </w:tc>
      </w:tr>
    </w:tbl>
    <w:p>
      <w:pPr>
        <w:adjustRightInd w:val="0"/>
        <w:snapToGrid w:val="0"/>
        <w:spacing w:line="240" w:lineRule="auto"/>
        <w:ind w:left="0" w:leftChars="0" w:firstLine="480" w:firstLineChars="200"/>
        <w:rPr>
          <w:rFonts w:hAnsi="仿宋" w:cs="宋体"/>
          <w:b/>
          <w:bCs/>
          <w:szCs w:val="32"/>
        </w:rPr>
      </w:pPr>
      <w:r>
        <w:rPr>
          <w:rFonts w:hint="eastAsia" w:hAnsi="仿宋" w:cs="宋体"/>
          <w:sz w:val="24"/>
          <w:szCs w:val="24"/>
        </w:rPr>
        <w:t>备注：</w:t>
      </w:r>
      <w:r>
        <w:rPr>
          <w:rFonts w:hint="eastAsia" w:hAnsi="方正仿宋简体" w:cs="方正仿宋简体"/>
          <w:sz w:val="24"/>
          <w:szCs w:val="24"/>
        </w:rPr>
        <w:t>其中瓮房权证银盏镇字第201507374号和翁房权证银盏镇字第201507193号两个权证所属的抵押物原为工棚，面积共计2396.89</w:t>
      </w:r>
      <w:r>
        <w:rPr>
          <w:rFonts w:hint="eastAsia" w:ascii="宋体" w:hAnsi="宋体" w:eastAsia="宋体" w:cs="宋体"/>
          <w:sz w:val="24"/>
          <w:szCs w:val="24"/>
        </w:rPr>
        <w:t>㎡</w:t>
      </w:r>
      <w:r>
        <w:rPr>
          <w:rFonts w:hint="eastAsia" w:hAnsi="方正仿宋简体" w:cs="方正仿宋简体"/>
          <w:sz w:val="24"/>
          <w:szCs w:val="24"/>
        </w:rPr>
        <w:t>，因抵押人引入其他投资者，该工棚已被拆除并进行重新建设，现为在建工程。该新建在建工程目前未抵押、未查封。</w:t>
      </w:r>
    </w:p>
    <w:p>
      <w:pPr>
        <w:adjustRightInd w:val="0"/>
        <w:snapToGrid w:val="0"/>
        <w:spacing w:line="240" w:lineRule="auto"/>
        <w:ind w:firstLine="707" w:firstLineChars="220"/>
        <w:rPr>
          <w:rFonts w:hAnsi="仿宋" w:cs="宋体"/>
          <w:b/>
          <w:bCs/>
          <w:szCs w:val="32"/>
        </w:rPr>
      </w:pPr>
      <w:r>
        <w:rPr>
          <w:rFonts w:hint="eastAsia" w:hAnsi="仿宋" w:cs="宋体"/>
          <w:b/>
          <w:bCs/>
          <w:szCs w:val="32"/>
        </w:rPr>
        <w:t>（2）质押担保</w:t>
      </w:r>
    </w:p>
    <w:p>
      <w:pPr>
        <w:adjustRightInd w:val="0"/>
        <w:snapToGrid w:val="0"/>
        <w:spacing w:line="240" w:lineRule="auto"/>
        <w:ind w:firstLine="704" w:firstLineChars="220"/>
        <w:rPr>
          <w:rFonts w:hAnsi="仿宋" w:cs="宋体"/>
          <w:szCs w:val="32"/>
        </w:rPr>
      </w:pPr>
      <w:r>
        <w:rPr>
          <w:rFonts w:hint="eastAsia" w:hAnsi="仿宋" w:cs="宋体"/>
          <w:szCs w:val="32"/>
        </w:rPr>
        <w:t>该3户债权项目下未设置质押担保。</w:t>
      </w:r>
    </w:p>
    <w:p>
      <w:pPr>
        <w:numPr>
          <w:ilvl w:val="0"/>
          <w:numId w:val="1"/>
        </w:numPr>
        <w:adjustRightInd w:val="0"/>
        <w:snapToGrid w:val="0"/>
        <w:spacing w:line="240" w:lineRule="auto"/>
        <w:ind w:firstLine="707" w:firstLineChars="220"/>
        <w:rPr>
          <w:rFonts w:hAnsi="仿宋" w:cs="宋体"/>
          <w:b/>
          <w:bCs/>
          <w:szCs w:val="32"/>
        </w:rPr>
      </w:pPr>
      <w:r>
        <w:rPr>
          <w:rFonts w:hint="eastAsia" w:hAnsi="仿宋" w:cs="宋体"/>
          <w:b/>
          <w:bCs/>
          <w:szCs w:val="32"/>
        </w:rPr>
        <w:t>保证担保</w:t>
      </w:r>
    </w:p>
    <w:p>
      <w:pPr>
        <w:adjustRightInd w:val="0"/>
        <w:snapToGrid w:val="0"/>
        <w:spacing w:line="240" w:lineRule="auto"/>
        <w:ind w:firstLine="640"/>
        <w:rPr>
          <w:rFonts w:ascii="仿宋" w:hAnsi="仿宋" w:eastAsia="仿宋" w:cs="仿宋"/>
          <w:szCs w:val="32"/>
        </w:rPr>
      </w:pPr>
      <w:r>
        <w:rPr>
          <w:rFonts w:hint="eastAsia" w:ascii="仿宋" w:hAnsi="仿宋" w:eastAsia="仿宋" w:cs="仿宋"/>
          <w:szCs w:val="32"/>
        </w:rPr>
        <w:t>该3户债权项目下均未设置保证担保。</w:t>
      </w:r>
    </w:p>
    <w:p>
      <w:pPr>
        <w:ind w:firstLine="643"/>
        <w:rPr>
          <w:rFonts w:hAnsi="仿宋" w:cs="宋体"/>
          <w:b/>
          <w:bCs/>
          <w:szCs w:val="32"/>
        </w:rPr>
      </w:pPr>
      <w:r>
        <w:rPr>
          <w:rFonts w:hint="eastAsia" w:hAnsi="仿宋" w:cs="宋体"/>
          <w:b/>
          <w:bCs/>
          <w:szCs w:val="32"/>
        </w:rPr>
        <w:t>第4-11户：贵州永亨合生汽车销售有限公司等8户债权</w:t>
      </w:r>
    </w:p>
    <w:p>
      <w:pPr>
        <w:ind w:firstLine="704" w:firstLineChars="220"/>
        <w:rPr>
          <w:rFonts w:hAnsi="仿宋" w:cs="宋体"/>
          <w:szCs w:val="32"/>
        </w:rPr>
      </w:pPr>
      <w:r>
        <w:rPr>
          <w:rFonts w:hint="eastAsia" w:hAnsi="仿宋" w:cs="宋体"/>
          <w:szCs w:val="32"/>
        </w:rPr>
        <w:t>该8户债权均为保证类债权，无相关资产抵押。</w:t>
      </w:r>
    </w:p>
    <w:p>
      <w:pPr>
        <w:ind w:firstLine="707" w:firstLineChars="220"/>
        <w:rPr>
          <w:rFonts w:hAnsi="仿宋" w:cs="宋体"/>
          <w:b/>
          <w:bCs/>
          <w:szCs w:val="32"/>
        </w:rPr>
      </w:pPr>
      <w:r>
        <w:rPr>
          <w:rFonts w:hint="eastAsia" w:hAnsi="仿宋" w:cs="宋体"/>
          <w:b/>
          <w:bCs/>
          <w:szCs w:val="32"/>
        </w:rPr>
        <w:t>1.债权基本情况</w:t>
      </w:r>
    </w:p>
    <w:p>
      <w:pPr>
        <w:snapToGrid w:val="0"/>
        <w:spacing w:line="240" w:lineRule="auto"/>
        <w:ind w:firstLine="704" w:firstLineChars="220"/>
        <w:rPr>
          <w:rFonts w:hAnsi="仿宋" w:cs="宋体"/>
          <w:szCs w:val="32"/>
        </w:rPr>
      </w:pPr>
      <w:r>
        <w:rPr>
          <w:rFonts w:hint="eastAsia" w:hAnsi="仿宋" w:cs="宋体"/>
          <w:szCs w:val="32"/>
        </w:rPr>
        <w:t>（1）从银行接收该8户债权时，截止接收基准日2019年9月30日，本金余额52,180,926.84 元，利息余额12,827,459.82 元，债权金额合计65,008,386.66 。截止本次处置准日2022年12月31日，本金余额52,122,276.47 元，利息余额33,053,075.72 元，代垫费用485,237.50 元，债权金额合计85,660,589.69 元。截止上报本方案前，该8户债权共处置回收金额为58,650.37元。该8户债权基本情况如下：</w:t>
      </w:r>
    </w:p>
    <w:tbl>
      <w:tblPr>
        <w:tblStyle w:val="17"/>
        <w:tblpPr w:leftFromText="180" w:rightFromText="180" w:vertAnchor="text" w:horzAnchor="page" w:tblpX="1668" w:tblpY="219"/>
        <w:tblOverlap w:val="never"/>
        <w:tblW w:w="8760" w:type="dxa"/>
        <w:tblInd w:w="0" w:type="dxa"/>
        <w:tblLayout w:type="fixed"/>
        <w:tblCellMar>
          <w:top w:w="0" w:type="dxa"/>
          <w:left w:w="108" w:type="dxa"/>
          <w:bottom w:w="0" w:type="dxa"/>
          <w:right w:w="108" w:type="dxa"/>
        </w:tblCellMar>
      </w:tblPr>
      <w:tblGrid>
        <w:gridCol w:w="645"/>
        <w:gridCol w:w="1933"/>
        <w:gridCol w:w="1411"/>
        <w:gridCol w:w="1260"/>
        <w:gridCol w:w="1020"/>
        <w:gridCol w:w="1545"/>
        <w:gridCol w:w="946"/>
      </w:tblGrid>
      <w:tr>
        <w:tblPrEx>
          <w:tblLayout w:type="fixed"/>
          <w:tblCellMar>
            <w:top w:w="0" w:type="dxa"/>
            <w:left w:w="108" w:type="dxa"/>
            <w:bottom w:w="0" w:type="dxa"/>
            <w:right w:w="108" w:type="dxa"/>
          </w:tblCellMar>
        </w:tblPrEx>
        <w:trPr>
          <w:trHeight w:val="607" w:hRule="atLeast"/>
        </w:trPr>
        <w:tc>
          <w:tcPr>
            <w:tcW w:w="645" w:type="dxa"/>
            <w:tcBorders>
              <w:top w:val="single" w:color="000000" w:sz="4" w:space="0"/>
              <w:left w:val="single" w:color="000000" w:sz="4" w:space="0"/>
              <w:bottom w:val="single" w:color="000000" w:sz="4" w:space="0"/>
              <w:right w:val="single" w:color="000000" w:sz="4" w:space="0"/>
            </w:tcBorders>
            <w:shd w:val="clear" w:color="auto" w:fill="BEBEBE"/>
            <w:vAlign w:val="center"/>
          </w:tcPr>
          <w:p>
            <w:pPr>
              <w:widowControl/>
              <w:adjustRightInd w:val="0"/>
              <w:snapToGrid w:val="0"/>
              <w:spacing w:line="240" w:lineRule="auto"/>
              <w:ind w:firstLine="0" w:firstLineChars="0"/>
              <w:jc w:val="center"/>
              <w:textAlignment w:val="center"/>
              <w:rPr>
                <w:rFonts w:ascii="宋体" w:hAnsi="宋体" w:eastAsia="宋体" w:cs="宋体"/>
                <w:b/>
                <w:bCs/>
                <w:sz w:val="21"/>
                <w:szCs w:val="21"/>
              </w:rPr>
            </w:pPr>
            <w:r>
              <w:rPr>
                <w:rFonts w:hint="eastAsia" w:ascii="宋体" w:hAnsi="宋体" w:eastAsia="宋体" w:cs="宋体"/>
                <w:b/>
                <w:bCs/>
                <w:kern w:val="0"/>
                <w:sz w:val="21"/>
                <w:szCs w:val="21"/>
                <w:lang w:bidi="ar"/>
              </w:rPr>
              <w:t>序号</w:t>
            </w:r>
          </w:p>
        </w:tc>
        <w:tc>
          <w:tcPr>
            <w:tcW w:w="1933" w:type="dxa"/>
            <w:tcBorders>
              <w:top w:val="single" w:color="000000" w:sz="4" w:space="0"/>
              <w:left w:val="single" w:color="000000" w:sz="4" w:space="0"/>
              <w:bottom w:val="single" w:color="000000" w:sz="4" w:space="0"/>
              <w:right w:val="single" w:color="000000" w:sz="4" w:space="0"/>
            </w:tcBorders>
            <w:shd w:val="clear" w:color="auto" w:fill="BEBEBE"/>
            <w:vAlign w:val="center"/>
          </w:tcPr>
          <w:p>
            <w:pPr>
              <w:widowControl/>
              <w:adjustRightInd w:val="0"/>
              <w:snapToGrid w:val="0"/>
              <w:spacing w:line="240" w:lineRule="auto"/>
              <w:ind w:firstLine="0" w:firstLineChars="0"/>
              <w:jc w:val="center"/>
              <w:textAlignment w:val="center"/>
              <w:rPr>
                <w:rFonts w:ascii="宋体" w:hAnsi="宋体" w:eastAsia="宋体" w:cs="宋体"/>
                <w:b/>
                <w:bCs/>
                <w:sz w:val="21"/>
                <w:szCs w:val="21"/>
              </w:rPr>
            </w:pPr>
            <w:r>
              <w:rPr>
                <w:rFonts w:hint="eastAsia" w:ascii="宋体" w:hAnsi="宋体" w:eastAsia="宋体" w:cs="宋体"/>
                <w:b/>
                <w:bCs/>
                <w:kern w:val="0"/>
                <w:sz w:val="21"/>
                <w:szCs w:val="21"/>
                <w:lang w:bidi="ar"/>
              </w:rPr>
              <w:t>债务人名称</w:t>
            </w:r>
          </w:p>
        </w:tc>
        <w:tc>
          <w:tcPr>
            <w:tcW w:w="1411" w:type="dxa"/>
            <w:tcBorders>
              <w:top w:val="single" w:color="000000" w:sz="4" w:space="0"/>
              <w:left w:val="single" w:color="000000" w:sz="4" w:space="0"/>
              <w:bottom w:val="single" w:color="000000" w:sz="4" w:space="0"/>
              <w:right w:val="single" w:color="000000" w:sz="4" w:space="0"/>
            </w:tcBorders>
            <w:shd w:val="clear" w:color="auto" w:fill="BEBEBE"/>
            <w:vAlign w:val="center"/>
          </w:tcPr>
          <w:p>
            <w:pPr>
              <w:widowControl/>
              <w:adjustRightInd w:val="0"/>
              <w:snapToGrid w:val="0"/>
              <w:spacing w:line="240" w:lineRule="auto"/>
              <w:ind w:firstLine="0" w:firstLineChars="0"/>
              <w:jc w:val="left"/>
              <w:textAlignment w:val="center"/>
              <w:rPr>
                <w:rFonts w:ascii="宋体" w:hAnsi="宋体" w:eastAsia="宋体" w:cs="宋体"/>
                <w:b/>
                <w:bCs/>
                <w:kern w:val="0"/>
                <w:sz w:val="21"/>
                <w:szCs w:val="21"/>
                <w:lang w:bidi="ar"/>
              </w:rPr>
            </w:pPr>
            <w:r>
              <w:rPr>
                <w:rFonts w:hint="eastAsia" w:ascii="宋体" w:hAnsi="宋体" w:eastAsia="宋体" w:cs="宋体"/>
                <w:b/>
                <w:bCs/>
                <w:kern w:val="0"/>
                <w:sz w:val="21"/>
                <w:szCs w:val="21"/>
                <w:lang w:bidi="ar"/>
              </w:rPr>
              <w:t>接收时本金余额</w:t>
            </w:r>
          </w:p>
        </w:tc>
        <w:tc>
          <w:tcPr>
            <w:tcW w:w="1260" w:type="dxa"/>
            <w:tcBorders>
              <w:top w:val="single" w:color="000000" w:sz="4" w:space="0"/>
              <w:left w:val="single" w:color="000000" w:sz="4" w:space="0"/>
              <w:bottom w:val="single" w:color="000000" w:sz="4" w:space="0"/>
              <w:right w:val="single" w:color="000000" w:sz="4" w:space="0"/>
            </w:tcBorders>
            <w:shd w:val="clear" w:color="auto" w:fill="BEBEBE"/>
            <w:vAlign w:val="center"/>
          </w:tcPr>
          <w:p>
            <w:pPr>
              <w:widowControl/>
              <w:adjustRightInd w:val="0"/>
              <w:snapToGrid w:val="0"/>
              <w:spacing w:line="240" w:lineRule="auto"/>
              <w:ind w:firstLine="0" w:firstLineChars="0"/>
              <w:jc w:val="center"/>
              <w:textAlignment w:val="center"/>
              <w:rPr>
                <w:rFonts w:ascii="Calibri" w:hAnsi="Calibri" w:eastAsia="宋体"/>
                <w:sz w:val="21"/>
                <w:szCs w:val="22"/>
              </w:rPr>
            </w:pPr>
            <w:r>
              <w:rPr>
                <w:rFonts w:hint="eastAsia" w:ascii="宋体" w:hAnsi="宋体" w:eastAsia="宋体" w:cs="宋体"/>
                <w:b/>
                <w:bCs/>
                <w:kern w:val="0"/>
                <w:sz w:val="21"/>
                <w:szCs w:val="21"/>
                <w:lang w:bidi="ar"/>
              </w:rPr>
              <w:t>接收时利息余额</w:t>
            </w:r>
          </w:p>
        </w:tc>
        <w:tc>
          <w:tcPr>
            <w:tcW w:w="1020" w:type="dxa"/>
            <w:tcBorders>
              <w:top w:val="single" w:color="000000" w:sz="4" w:space="0"/>
              <w:left w:val="single" w:color="000000" w:sz="4" w:space="0"/>
              <w:bottom w:val="single" w:color="000000" w:sz="4" w:space="0"/>
              <w:right w:val="single" w:color="000000" w:sz="4" w:space="0"/>
            </w:tcBorders>
            <w:shd w:val="clear" w:color="auto" w:fill="BEBEBE"/>
            <w:vAlign w:val="center"/>
          </w:tcPr>
          <w:p>
            <w:pPr>
              <w:widowControl/>
              <w:adjustRightInd w:val="0"/>
              <w:snapToGrid w:val="0"/>
              <w:spacing w:line="240" w:lineRule="auto"/>
              <w:ind w:firstLine="0" w:firstLineChars="0"/>
              <w:jc w:val="left"/>
              <w:textAlignment w:val="center"/>
              <w:rPr>
                <w:rFonts w:ascii="宋体" w:hAnsi="宋体" w:eastAsia="宋体" w:cs="宋体"/>
                <w:b/>
                <w:bCs/>
                <w:sz w:val="21"/>
                <w:szCs w:val="21"/>
              </w:rPr>
            </w:pPr>
            <w:r>
              <w:rPr>
                <w:rFonts w:hint="eastAsia" w:ascii="宋体" w:hAnsi="宋体" w:eastAsia="宋体" w:cs="宋体"/>
                <w:b/>
                <w:bCs/>
                <w:kern w:val="0"/>
                <w:sz w:val="21"/>
                <w:szCs w:val="21"/>
                <w:lang w:bidi="ar"/>
              </w:rPr>
              <w:t>现本金余额</w:t>
            </w:r>
          </w:p>
        </w:tc>
        <w:tc>
          <w:tcPr>
            <w:tcW w:w="1545" w:type="dxa"/>
            <w:tcBorders>
              <w:top w:val="single" w:color="000000" w:sz="4" w:space="0"/>
              <w:left w:val="single" w:color="000000" w:sz="4" w:space="0"/>
              <w:bottom w:val="single" w:color="000000" w:sz="4" w:space="0"/>
              <w:right w:val="single" w:color="000000" w:sz="4" w:space="0"/>
            </w:tcBorders>
            <w:shd w:val="clear" w:color="auto" w:fill="BEBEBE"/>
            <w:vAlign w:val="center"/>
          </w:tcPr>
          <w:p>
            <w:pPr>
              <w:widowControl/>
              <w:adjustRightInd w:val="0"/>
              <w:snapToGrid w:val="0"/>
              <w:spacing w:line="240" w:lineRule="auto"/>
              <w:ind w:firstLine="0" w:firstLineChars="0"/>
              <w:jc w:val="center"/>
              <w:textAlignment w:val="center"/>
              <w:rPr>
                <w:rFonts w:ascii="宋体" w:hAnsi="宋体" w:eastAsia="宋体" w:cs="宋体"/>
                <w:b/>
                <w:bCs/>
                <w:sz w:val="21"/>
                <w:szCs w:val="21"/>
              </w:rPr>
            </w:pPr>
            <w:r>
              <w:rPr>
                <w:rFonts w:hint="eastAsia" w:ascii="宋体" w:hAnsi="宋体" w:eastAsia="宋体" w:cs="宋体"/>
                <w:b/>
                <w:bCs/>
                <w:kern w:val="0"/>
                <w:sz w:val="21"/>
                <w:szCs w:val="21"/>
                <w:lang w:bidi="ar"/>
              </w:rPr>
              <w:t>现利息(含代垫费用)余额</w:t>
            </w:r>
          </w:p>
        </w:tc>
        <w:tc>
          <w:tcPr>
            <w:tcW w:w="946" w:type="dxa"/>
            <w:tcBorders>
              <w:top w:val="single" w:color="000000" w:sz="4" w:space="0"/>
              <w:left w:val="single" w:color="000000" w:sz="4" w:space="0"/>
              <w:bottom w:val="nil"/>
              <w:right w:val="single" w:color="000000" w:sz="4" w:space="0"/>
            </w:tcBorders>
            <w:shd w:val="clear" w:color="auto" w:fill="BEBEBE"/>
            <w:vAlign w:val="center"/>
          </w:tcPr>
          <w:p>
            <w:pPr>
              <w:widowControl/>
              <w:adjustRightInd w:val="0"/>
              <w:snapToGrid w:val="0"/>
              <w:spacing w:line="240" w:lineRule="auto"/>
              <w:ind w:firstLine="0" w:firstLineChars="0"/>
              <w:jc w:val="center"/>
              <w:textAlignment w:val="center"/>
              <w:rPr>
                <w:rFonts w:ascii="宋体" w:hAnsi="宋体" w:eastAsia="宋体" w:cs="宋体"/>
                <w:b/>
                <w:bCs/>
                <w:sz w:val="21"/>
                <w:szCs w:val="21"/>
              </w:rPr>
            </w:pPr>
            <w:r>
              <w:rPr>
                <w:rFonts w:hint="eastAsia" w:ascii="宋体" w:hAnsi="宋体" w:eastAsia="宋体" w:cs="宋体"/>
                <w:b/>
                <w:bCs/>
                <w:sz w:val="21"/>
                <w:szCs w:val="21"/>
              </w:rPr>
              <w:t>备注</w:t>
            </w:r>
          </w:p>
        </w:tc>
      </w:tr>
      <w:tr>
        <w:tblPrEx>
          <w:tblLayout w:type="fixed"/>
          <w:tblCellMar>
            <w:top w:w="0" w:type="dxa"/>
            <w:left w:w="108" w:type="dxa"/>
            <w:bottom w:w="0" w:type="dxa"/>
            <w:right w:w="108" w:type="dxa"/>
          </w:tblCellMar>
        </w:tblPrEx>
        <w:trPr>
          <w:trHeight w:val="679" w:hRule="atLeast"/>
        </w:trPr>
        <w:tc>
          <w:tcPr>
            <w:tcW w:w="645"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1</w:t>
            </w:r>
          </w:p>
        </w:tc>
        <w:tc>
          <w:tcPr>
            <w:tcW w:w="1933" w:type="dxa"/>
            <w:tcBorders>
              <w:top w:val="single" w:color="000000" w:sz="4" w:space="0"/>
              <w:left w:val="single" w:color="000000" w:sz="4" w:space="0"/>
              <w:bottom w:val="nil"/>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贵州永亨合生汽车销售有限公司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仿宋" w:hAnsi="仿宋" w:eastAsia="仿宋" w:cs="仿宋"/>
                <w:kern w:val="0"/>
                <w:sz w:val="21"/>
                <w:szCs w:val="21"/>
                <w:lang w:bidi="ar"/>
              </w:rPr>
              <w:t>8,615,737.84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Calibri" w:hAnsi="Calibri" w:eastAsia="宋体"/>
                <w:sz w:val="21"/>
                <w:szCs w:val="22"/>
              </w:rPr>
            </w:pPr>
            <w:r>
              <w:rPr>
                <w:rFonts w:hint="eastAsia" w:ascii="仿宋" w:hAnsi="仿宋" w:eastAsia="仿宋" w:cs="仿宋"/>
                <w:kern w:val="0"/>
                <w:sz w:val="21"/>
                <w:szCs w:val="21"/>
                <w:lang w:bidi="ar"/>
              </w:rPr>
              <w:t>1,711,258.58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8,615,737.84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4,956,757.08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p>
        </w:tc>
      </w:tr>
      <w:tr>
        <w:tblPrEx>
          <w:tblLayout w:type="fixed"/>
          <w:tblCellMar>
            <w:top w:w="0" w:type="dxa"/>
            <w:left w:w="108" w:type="dxa"/>
            <w:bottom w:w="0" w:type="dxa"/>
            <w:right w:w="108" w:type="dxa"/>
          </w:tblCellMar>
        </w:tblPrEx>
        <w:trPr>
          <w:trHeight w:val="664" w:hRule="atLeast"/>
        </w:trPr>
        <w:tc>
          <w:tcPr>
            <w:tcW w:w="645"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2</w:t>
            </w:r>
          </w:p>
        </w:tc>
        <w:tc>
          <w:tcPr>
            <w:tcW w:w="1933" w:type="dxa"/>
            <w:tcBorders>
              <w:top w:val="single" w:color="000000" w:sz="4" w:space="0"/>
              <w:left w:val="single" w:color="000000" w:sz="4" w:space="0"/>
              <w:bottom w:val="nil"/>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贵州安辉汽车贸易有限公司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仿宋" w:hAnsi="仿宋" w:eastAsia="仿宋" w:cs="仿宋"/>
                <w:kern w:val="0"/>
                <w:sz w:val="21"/>
                <w:szCs w:val="21"/>
                <w:lang w:bidi="ar"/>
              </w:rPr>
              <w:t>8,615,889.54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Calibri" w:hAnsi="Calibri" w:eastAsia="宋体"/>
                <w:sz w:val="21"/>
                <w:szCs w:val="22"/>
              </w:rPr>
            </w:pPr>
            <w:r>
              <w:rPr>
                <w:rFonts w:hint="eastAsia" w:ascii="仿宋" w:hAnsi="仿宋" w:eastAsia="仿宋" w:cs="仿宋"/>
                <w:kern w:val="0"/>
                <w:sz w:val="21"/>
                <w:szCs w:val="21"/>
                <w:lang w:bidi="ar"/>
              </w:rPr>
              <w:t>1,711,273.12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8,615,889.54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4,957,076.09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r>
              <w:rPr>
                <w:rFonts w:hint="eastAsia" w:ascii="Times New Roman" w:eastAsia="宋体"/>
                <w:kern w:val="0"/>
                <w:sz w:val="21"/>
                <w:szCs w:val="21"/>
                <w:lang w:bidi="ar"/>
              </w:rPr>
              <w:t xml:space="preserve"> </w:t>
            </w:r>
          </w:p>
        </w:tc>
      </w:tr>
      <w:tr>
        <w:tblPrEx>
          <w:tblLayout w:type="fixed"/>
          <w:tblCellMar>
            <w:top w:w="0" w:type="dxa"/>
            <w:left w:w="108" w:type="dxa"/>
            <w:bottom w:w="0" w:type="dxa"/>
            <w:right w:w="108" w:type="dxa"/>
          </w:tblCellMar>
        </w:tblPrEx>
        <w:trPr>
          <w:trHeight w:val="456" w:hRule="atLeast"/>
        </w:trPr>
        <w:tc>
          <w:tcPr>
            <w:tcW w:w="645"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3</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贵州华星斯卡特汽车销售有限公司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仿宋" w:hAnsi="仿宋" w:eastAsia="仿宋" w:cs="仿宋"/>
                <w:kern w:val="0"/>
                <w:sz w:val="21"/>
                <w:szCs w:val="21"/>
                <w:lang w:bidi="ar"/>
              </w:rPr>
              <w:t>8,615,609.13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Calibri" w:hAnsi="Calibri" w:eastAsia="宋体"/>
                <w:sz w:val="21"/>
                <w:szCs w:val="22"/>
              </w:rPr>
            </w:pPr>
            <w:r>
              <w:rPr>
                <w:rFonts w:hint="eastAsia" w:ascii="仿宋" w:hAnsi="仿宋" w:eastAsia="仿宋" w:cs="仿宋"/>
                <w:kern w:val="0"/>
                <w:sz w:val="21"/>
                <w:szCs w:val="21"/>
                <w:lang w:bidi="ar"/>
              </w:rPr>
              <w:t>1,711,246.23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8,615,609.13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4,956,648.37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r>
              <w:rPr>
                <w:rFonts w:hint="eastAsia" w:ascii="Times New Roman" w:eastAsia="宋体"/>
                <w:kern w:val="0"/>
                <w:sz w:val="21"/>
                <w:szCs w:val="21"/>
                <w:lang w:bidi="ar"/>
              </w:rPr>
              <w:t xml:space="preserve"> </w:t>
            </w:r>
          </w:p>
        </w:tc>
      </w:tr>
      <w:tr>
        <w:tblPrEx>
          <w:tblLayout w:type="fixed"/>
          <w:tblCellMar>
            <w:top w:w="0" w:type="dxa"/>
            <w:left w:w="108" w:type="dxa"/>
            <w:bottom w:w="0" w:type="dxa"/>
            <w:right w:w="108" w:type="dxa"/>
          </w:tblCellMar>
        </w:tblPrEx>
        <w:trPr>
          <w:trHeight w:val="456" w:hRule="atLeast"/>
        </w:trPr>
        <w:tc>
          <w:tcPr>
            <w:tcW w:w="645"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4</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贵州陕西重型汽车销售有限公司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仿宋" w:hAnsi="仿宋" w:eastAsia="仿宋" w:cs="仿宋"/>
                <w:kern w:val="0"/>
                <w:sz w:val="21"/>
                <w:szCs w:val="21"/>
                <w:lang w:bidi="ar"/>
              </w:rPr>
              <w:t>8,615,862.46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Calibri" w:hAnsi="Calibri" w:eastAsia="宋体"/>
                <w:sz w:val="21"/>
                <w:szCs w:val="22"/>
              </w:rPr>
            </w:pPr>
            <w:r>
              <w:rPr>
                <w:rFonts w:hint="eastAsia" w:ascii="仿宋" w:hAnsi="仿宋" w:eastAsia="仿宋" w:cs="仿宋"/>
                <w:kern w:val="0"/>
                <w:sz w:val="21"/>
                <w:szCs w:val="21"/>
                <w:lang w:bidi="ar"/>
              </w:rPr>
              <w:t>1,711,270.52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8,615,862.46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4,956,442.98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r>
              <w:rPr>
                <w:rFonts w:hint="eastAsia" w:ascii="Times New Roman" w:eastAsia="宋体"/>
                <w:kern w:val="0"/>
                <w:sz w:val="21"/>
                <w:szCs w:val="21"/>
                <w:lang w:bidi="ar"/>
              </w:rPr>
              <w:t xml:space="preserve"> </w:t>
            </w:r>
          </w:p>
        </w:tc>
      </w:tr>
      <w:tr>
        <w:tblPrEx>
          <w:tblLayout w:type="fixed"/>
          <w:tblCellMar>
            <w:top w:w="0" w:type="dxa"/>
            <w:left w:w="108" w:type="dxa"/>
            <w:bottom w:w="0" w:type="dxa"/>
            <w:right w:w="108" w:type="dxa"/>
          </w:tblCellMar>
        </w:tblPrEx>
        <w:trPr>
          <w:trHeight w:val="456" w:hRule="atLeast"/>
        </w:trPr>
        <w:tc>
          <w:tcPr>
            <w:tcW w:w="645"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5</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贵州陕汽工贸有限公司司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仿宋" w:hAnsi="仿宋" w:eastAsia="仿宋" w:cs="仿宋"/>
                <w:kern w:val="0"/>
                <w:sz w:val="21"/>
                <w:szCs w:val="21"/>
                <w:lang w:bidi="ar"/>
              </w:rPr>
              <w:t>8,614,550.07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Calibri" w:hAnsi="Calibri" w:eastAsia="宋体"/>
                <w:sz w:val="21"/>
                <w:szCs w:val="22"/>
              </w:rPr>
            </w:pPr>
            <w:r>
              <w:rPr>
                <w:rFonts w:hint="eastAsia" w:ascii="仿宋" w:hAnsi="仿宋" w:eastAsia="仿宋" w:cs="仿宋"/>
                <w:kern w:val="0"/>
                <w:sz w:val="21"/>
                <w:szCs w:val="21"/>
                <w:lang w:bidi="ar"/>
              </w:rPr>
              <w:t>1,711,144.88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8,556,703.08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4,956,216.43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r>
              <w:rPr>
                <w:rFonts w:hint="eastAsia" w:ascii="宋体" w:hAnsi="宋体" w:eastAsia="宋体" w:cs="宋体"/>
                <w:kern w:val="0"/>
                <w:sz w:val="21"/>
                <w:szCs w:val="21"/>
                <w:lang w:bidi="ar"/>
              </w:rPr>
              <w:t>已回收57846.99元。</w:t>
            </w:r>
            <w:r>
              <w:rPr>
                <w:rFonts w:hint="eastAsia" w:ascii="Times New Roman" w:eastAsia="宋体"/>
                <w:kern w:val="0"/>
                <w:sz w:val="21"/>
                <w:szCs w:val="21"/>
                <w:lang w:bidi="ar"/>
              </w:rPr>
              <w:t xml:space="preserve"> </w:t>
            </w:r>
          </w:p>
        </w:tc>
      </w:tr>
      <w:tr>
        <w:tblPrEx>
          <w:tblLayout w:type="fixed"/>
          <w:tblCellMar>
            <w:top w:w="0" w:type="dxa"/>
            <w:left w:w="108" w:type="dxa"/>
            <w:bottom w:w="0" w:type="dxa"/>
            <w:right w:w="108" w:type="dxa"/>
          </w:tblCellMar>
        </w:tblPrEx>
        <w:trPr>
          <w:trHeight w:val="679" w:hRule="atLeast"/>
        </w:trPr>
        <w:tc>
          <w:tcPr>
            <w:tcW w:w="645"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6</w:t>
            </w:r>
          </w:p>
        </w:tc>
        <w:tc>
          <w:tcPr>
            <w:tcW w:w="1933" w:type="dxa"/>
            <w:tcBorders>
              <w:top w:val="single" w:color="000000" w:sz="4" w:space="0"/>
              <w:left w:val="single" w:color="000000" w:sz="4" w:space="0"/>
              <w:bottom w:val="nil"/>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福泉市鑫达矿业有限责任公司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仿宋" w:hAnsi="仿宋" w:eastAsia="仿宋" w:cs="仿宋"/>
                <w:kern w:val="0"/>
                <w:sz w:val="21"/>
                <w:szCs w:val="21"/>
                <w:lang w:bidi="ar"/>
              </w:rPr>
              <w:t>798,000.00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Calibri" w:hAnsi="Calibri" w:eastAsia="宋体"/>
                <w:sz w:val="21"/>
                <w:szCs w:val="22"/>
              </w:rPr>
            </w:pPr>
            <w:r>
              <w:rPr>
                <w:rFonts w:hint="eastAsia" w:ascii="仿宋" w:hAnsi="仿宋" w:eastAsia="仿宋" w:cs="仿宋"/>
                <w:kern w:val="0"/>
                <w:sz w:val="21"/>
                <w:szCs w:val="21"/>
                <w:lang w:bidi="ar"/>
              </w:rPr>
              <w:t>933,224.00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798,000.00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948,492.00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r>
              <w:rPr>
                <w:rFonts w:hint="eastAsia" w:ascii="Times New Roman" w:eastAsia="宋体"/>
                <w:kern w:val="0"/>
                <w:sz w:val="21"/>
                <w:szCs w:val="21"/>
                <w:lang w:bidi="ar"/>
              </w:rPr>
              <w:t xml:space="preserve">   </w:t>
            </w:r>
          </w:p>
        </w:tc>
      </w:tr>
      <w:tr>
        <w:tblPrEx>
          <w:tblLayout w:type="fixed"/>
          <w:tblCellMar>
            <w:top w:w="0" w:type="dxa"/>
            <w:left w:w="108" w:type="dxa"/>
            <w:bottom w:w="0" w:type="dxa"/>
            <w:right w:w="108" w:type="dxa"/>
          </w:tblCellMar>
        </w:tblPrEx>
        <w:trPr>
          <w:trHeight w:val="456" w:hRule="atLeast"/>
        </w:trPr>
        <w:tc>
          <w:tcPr>
            <w:tcW w:w="645"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7</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宋体" w:hAnsi="宋体" w:eastAsia="宋体" w:cs="宋体"/>
                <w:sz w:val="21"/>
                <w:szCs w:val="21"/>
              </w:rPr>
            </w:pPr>
            <w:r>
              <w:rPr>
                <w:rFonts w:hint="eastAsia" w:ascii="宋体" w:hAnsi="宋体" w:eastAsia="宋体" w:cs="宋体"/>
                <w:kern w:val="0"/>
                <w:sz w:val="21"/>
                <w:szCs w:val="21"/>
                <w:lang w:bidi="ar"/>
              </w:rPr>
              <w:t>福泉市屹达矿业有限责任公司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仿宋" w:hAnsi="仿宋" w:eastAsia="仿宋" w:cs="仿宋"/>
                <w:kern w:val="0"/>
                <w:sz w:val="21"/>
                <w:szCs w:val="21"/>
                <w:lang w:bidi="ar"/>
              </w:rPr>
              <w:t>4,455,277.80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Calibri" w:hAnsi="Calibri" w:eastAsia="宋体"/>
                <w:sz w:val="21"/>
                <w:szCs w:val="22"/>
              </w:rPr>
            </w:pPr>
            <w:r>
              <w:rPr>
                <w:rFonts w:hint="eastAsia" w:ascii="仿宋" w:hAnsi="仿宋" w:eastAsia="仿宋" w:cs="仿宋"/>
                <w:kern w:val="0"/>
                <w:sz w:val="21"/>
                <w:szCs w:val="21"/>
                <w:lang w:bidi="ar"/>
              </w:rPr>
              <w:t>2,375,927.49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4,454,474.42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5,032,742.42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r>
              <w:rPr>
                <w:rFonts w:hint="eastAsia" w:ascii="宋体" w:hAnsi="宋体" w:eastAsia="宋体" w:cs="宋体"/>
                <w:kern w:val="0"/>
                <w:sz w:val="21"/>
                <w:szCs w:val="21"/>
                <w:lang w:bidi="ar"/>
              </w:rPr>
              <w:t>已回收803.38元。</w:t>
            </w:r>
            <w:r>
              <w:rPr>
                <w:rFonts w:hint="eastAsia" w:ascii="Times New Roman" w:eastAsia="宋体"/>
                <w:kern w:val="0"/>
                <w:sz w:val="21"/>
                <w:szCs w:val="21"/>
                <w:lang w:bidi="ar"/>
              </w:rPr>
              <w:t xml:space="preserve"> </w:t>
            </w:r>
          </w:p>
        </w:tc>
      </w:tr>
      <w:tr>
        <w:tblPrEx>
          <w:tblLayout w:type="fixed"/>
          <w:tblCellMar>
            <w:top w:w="0" w:type="dxa"/>
            <w:left w:w="108" w:type="dxa"/>
            <w:bottom w:w="0" w:type="dxa"/>
            <w:right w:w="108" w:type="dxa"/>
          </w:tblCellMar>
        </w:tblPrEx>
        <w:trPr>
          <w:trHeight w:val="456" w:hRule="atLeast"/>
        </w:trPr>
        <w:tc>
          <w:tcPr>
            <w:tcW w:w="645"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ascii="宋体" w:hAnsi="宋体" w:eastAsia="宋体" w:cs="宋体"/>
                <w:kern w:val="0"/>
                <w:sz w:val="21"/>
                <w:szCs w:val="21"/>
                <w:lang w:bidi="ar"/>
              </w:rPr>
            </w:pPr>
            <w:r>
              <w:rPr>
                <w:rFonts w:hint="eastAsia" w:ascii="宋体" w:hAnsi="宋体" w:eastAsia="宋体" w:cs="宋体"/>
                <w:kern w:val="0"/>
                <w:sz w:val="21"/>
                <w:szCs w:val="21"/>
                <w:lang w:bidi="ar"/>
              </w:rPr>
              <w:t>8</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宋体" w:hAnsi="宋体" w:eastAsia="宋体" w:cs="宋体"/>
                <w:kern w:val="0"/>
                <w:sz w:val="21"/>
                <w:szCs w:val="21"/>
                <w:lang w:bidi="ar"/>
              </w:rPr>
            </w:pPr>
            <w:r>
              <w:rPr>
                <w:rFonts w:hint="eastAsia" w:ascii="宋体" w:hAnsi="宋体" w:eastAsia="宋体" w:cs="宋体"/>
                <w:kern w:val="0"/>
                <w:sz w:val="21"/>
                <w:szCs w:val="21"/>
                <w:lang w:bidi="ar"/>
              </w:rPr>
              <w:t>福泉市三根树矿业有限公司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r>
              <w:rPr>
                <w:rFonts w:hint="eastAsia" w:ascii="Times New Roman" w:eastAsia="宋体"/>
                <w:kern w:val="0"/>
                <w:sz w:val="21"/>
                <w:szCs w:val="21"/>
                <w:lang w:bidi="ar"/>
              </w:rPr>
              <w:t>3,850,000.00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r>
              <w:rPr>
                <w:rFonts w:hint="eastAsia" w:ascii="Times New Roman" w:eastAsia="宋体"/>
                <w:kern w:val="0"/>
                <w:sz w:val="21"/>
                <w:szCs w:val="21"/>
                <w:lang w:bidi="ar"/>
              </w:rPr>
              <w:t>962，115.00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1"/>
                <w:szCs w:val="21"/>
                <w:lang w:bidi="ar"/>
              </w:rPr>
              <w:t xml:space="preserve">3,850,000.00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kern w:val="0"/>
                <w:sz w:val="21"/>
                <w:szCs w:val="21"/>
                <w:lang w:bidi="ar"/>
              </w:rPr>
            </w:pPr>
            <w:r>
              <w:rPr>
                <w:rFonts w:hint="eastAsia" w:ascii="宋体" w:hAnsi="宋体" w:eastAsia="宋体" w:cs="宋体"/>
                <w:kern w:val="0"/>
                <w:sz w:val="20"/>
                <w:lang w:bidi="ar"/>
              </w:rPr>
              <w:t xml:space="preserve">2,773,937.85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kern w:val="0"/>
                <w:sz w:val="21"/>
                <w:szCs w:val="21"/>
                <w:lang w:bidi="ar"/>
              </w:rPr>
            </w:pPr>
          </w:p>
        </w:tc>
      </w:tr>
      <w:tr>
        <w:tblPrEx>
          <w:tblLayout w:type="fixed"/>
          <w:tblCellMar>
            <w:top w:w="0" w:type="dxa"/>
            <w:left w:w="108" w:type="dxa"/>
            <w:bottom w:w="0" w:type="dxa"/>
            <w:right w:w="108" w:type="dxa"/>
          </w:tblCellMar>
        </w:tblPrEx>
        <w:trPr>
          <w:trHeight w:val="689" w:hRule="atLeast"/>
        </w:trPr>
        <w:tc>
          <w:tcPr>
            <w:tcW w:w="25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ascii="宋体" w:hAnsi="宋体" w:eastAsia="宋体" w:cs="宋体"/>
                <w:b/>
                <w:bCs/>
                <w:sz w:val="21"/>
                <w:szCs w:val="21"/>
              </w:rPr>
            </w:pPr>
            <w:r>
              <w:rPr>
                <w:rFonts w:hint="eastAsia" w:ascii="宋体" w:hAnsi="宋体" w:eastAsia="宋体" w:cs="宋体"/>
                <w:b/>
                <w:bCs/>
                <w:kern w:val="0"/>
                <w:sz w:val="21"/>
                <w:szCs w:val="21"/>
                <w:lang w:bidi="ar"/>
              </w:rPr>
              <w:t>合计</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Times New Roman" w:eastAsia="宋体"/>
                <w:b/>
                <w:bCs/>
                <w:kern w:val="0"/>
                <w:sz w:val="21"/>
                <w:szCs w:val="21"/>
                <w:lang w:bidi="ar"/>
              </w:rPr>
            </w:pPr>
            <w:r>
              <w:rPr>
                <w:rFonts w:hint="eastAsia" w:ascii="仿宋" w:hAnsi="仿宋" w:eastAsia="仿宋" w:cs="仿宋"/>
                <w:b/>
                <w:kern w:val="0"/>
                <w:sz w:val="21"/>
                <w:szCs w:val="21"/>
                <w:lang w:bidi="ar"/>
              </w:rPr>
              <w:t xml:space="preserve">52,180,926.84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Calibri" w:hAnsi="Calibri" w:eastAsia="宋体"/>
                <w:sz w:val="21"/>
                <w:szCs w:val="22"/>
              </w:rPr>
            </w:pPr>
            <w:r>
              <w:rPr>
                <w:rFonts w:hint="eastAsia" w:ascii="仿宋" w:hAnsi="仿宋" w:eastAsia="仿宋" w:cs="仿宋"/>
                <w:b/>
                <w:kern w:val="0"/>
                <w:sz w:val="21"/>
                <w:szCs w:val="21"/>
                <w:lang w:bidi="ar"/>
              </w:rPr>
              <w:t xml:space="preserve">12,827,459.82 </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仿宋" w:hAnsi="仿宋" w:eastAsia="仿宋" w:cs="仿宋"/>
                <w:b/>
                <w:kern w:val="0"/>
                <w:sz w:val="21"/>
                <w:szCs w:val="21"/>
                <w:lang w:bidi="ar"/>
              </w:rPr>
            </w:pPr>
            <w:r>
              <w:rPr>
                <w:rFonts w:hint="eastAsia" w:ascii="仿宋" w:hAnsi="仿宋" w:eastAsia="仿宋" w:cs="仿宋"/>
                <w:b/>
                <w:kern w:val="0"/>
                <w:sz w:val="21"/>
                <w:szCs w:val="21"/>
                <w:lang w:bidi="ar"/>
              </w:rPr>
              <w:t xml:space="preserve">52,122,276.47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textAlignment w:val="center"/>
              <w:rPr>
                <w:rFonts w:ascii="仿宋" w:hAnsi="仿宋" w:eastAsia="仿宋" w:cs="仿宋"/>
                <w:b/>
                <w:kern w:val="0"/>
                <w:sz w:val="21"/>
                <w:szCs w:val="21"/>
                <w:lang w:bidi="ar"/>
              </w:rPr>
            </w:pPr>
            <w:r>
              <w:rPr>
                <w:rFonts w:hint="eastAsia" w:ascii="仿宋" w:hAnsi="仿宋" w:eastAsia="仿宋" w:cs="仿宋"/>
                <w:b/>
                <w:kern w:val="0"/>
                <w:sz w:val="21"/>
                <w:szCs w:val="21"/>
                <w:lang w:bidi="ar"/>
              </w:rPr>
              <w:t xml:space="preserve">33,538,313.22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ascii="Times New Roman" w:eastAsia="宋体"/>
                <w:b/>
                <w:bCs/>
                <w:kern w:val="0"/>
                <w:sz w:val="21"/>
                <w:szCs w:val="21"/>
                <w:lang w:bidi="ar"/>
              </w:rPr>
            </w:pPr>
            <w:r>
              <w:rPr>
                <w:rFonts w:hint="eastAsia" w:ascii="Times New Roman" w:eastAsia="宋体"/>
                <w:b/>
                <w:bCs/>
                <w:kern w:val="0"/>
                <w:sz w:val="21"/>
                <w:szCs w:val="21"/>
                <w:lang w:bidi="ar"/>
              </w:rPr>
              <w:t>-</w:t>
            </w:r>
          </w:p>
        </w:tc>
      </w:tr>
    </w:tbl>
    <w:p>
      <w:pPr>
        <w:adjustRightInd w:val="0"/>
        <w:snapToGrid w:val="0"/>
        <w:spacing w:line="240" w:lineRule="auto"/>
        <w:ind w:firstLine="641" w:firstLineChars="0"/>
        <w:rPr>
          <w:rFonts w:hAnsi="仿宋" w:cs="宋体"/>
          <w:szCs w:val="32"/>
        </w:rPr>
      </w:pPr>
      <w:r>
        <w:rPr>
          <w:rFonts w:hint="eastAsia" w:hAnsi="仿宋" w:cs="宋体"/>
          <w:szCs w:val="32"/>
        </w:rPr>
        <w:t>（2）该8户债权未设立抵押，目前仅为各质押人与保证人与债权银行签订质押合同及保证担保合同，担保方式均为连带责任保证担保，具体情况如下：</w:t>
      </w:r>
    </w:p>
    <w:tbl>
      <w:tblPr>
        <w:tblStyle w:val="17"/>
        <w:tblW w:w="9994" w:type="dxa"/>
        <w:tblInd w:w="-736" w:type="dxa"/>
        <w:tblLayout w:type="fixed"/>
        <w:tblCellMar>
          <w:top w:w="0" w:type="dxa"/>
          <w:left w:w="108" w:type="dxa"/>
          <w:bottom w:w="0" w:type="dxa"/>
          <w:right w:w="108" w:type="dxa"/>
        </w:tblCellMar>
      </w:tblPr>
      <w:tblGrid>
        <w:gridCol w:w="343"/>
        <w:gridCol w:w="1234"/>
        <w:gridCol w:w="1132"/>
        <w:gridCol w:w="864"/>
        <w:gridCol w:w="936"/>
        <w:gridCol w:w="805"/>
        <w:gridCol w:w="989"/>
        <w:gridCol w:w="3691"/>
      </w:tblGrid>
      <w:tr>
        <w:tblPrEx>
          <w:tblLayout w:type="fixed"/>
          <w:tblCellMar>
            <w:top w:w="0" w:type="dxa"/>
            <w:left w:w="108" w:type="dxa"/>
            <w:bottom w:w="0" w:type="dxa"/>
            <w:right w:w="108" w:type="dxa"/>
          </w:tblCellMar>
        </w:tblPrEx>
        <w:trPr>
          <w:trHeight w:val="633" w:hRule="atLeast"/>
        </w:trPr>
        <w:tc>
          <w:tcPr>
            <w:tcW w:w="343"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widowControl/>
              <w:adjustRightInd w:val="0"/>
              <w:snapToGrid w:val="0"/>
              <w:spacing w:line="240" w:lineRule="auto"/>
              <w:ind w:firstLine="0" w:firstLineChars="0"/>
              <w:jc w:val="center"/>
              <w:textAlignment w:val="center"/>
              <w:rPr>
                <w:rFonts w:hAnsi="方正仿宋简体" w:cs="方正仿宋简体"/>
                <w:b/>
                <w:bCs/>
                <w:sz w:val="18"/>
                <w:szCs w:val="18"/>
              </w:rPr>
            </w:pPr>
            <w:r>
              <w:rPr>
                <w:rFonts w:hint="eastAsia" w:hAnsi="方正仿宋简体" w:cs="方正仿宋简体"/>
                <w:b/>
                <w:bCs/>
                <w:kern w:val="0"/>
                <w:sz w:val="18"/>
                <w:szCs w:val="18"/>
                <w:lang w:bidi="ar"/>
              </w:rPr>
              <w:t>序号</w:t>
            </w:r>
          </w:p>
        </w:tc>
        <w:tc>
          <w:tcPr>
            <w:tcW w:w="1234"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widowControl/>
              <w:adjustRightInd w:val="0"/>
              <w:snapToGrid w:val="0"/>
              <w:spacing w:line="240" w:lineRule="auto"/>
              <w:ind w:firstLine="0" w:firstLineChars="0"/>
              <w:jc w:val="center"/>
              <w:textAlignment w:val="center"/>
              <w:rPr>
                <w:rFonts w:hAnsi="方正仿宋简体" w:cs="方正仿宋简体"/>
                <w:b/>
                <w:bCs/>
                <w:sz w:val="18"/>
                <w:szCs w:val="18"/>
              </w:rPr>
            </w:pPr>
            <w:r>
              <w:rPr>
                <w:rFonts w:hint="eastAsia" w:hAnsi="方正仿宋简体" w:cs="方正仿宋简体"/>
                <w:b/>
                <w:bCs/>
                <w:kern w:val="0"/>
                <w:sz w:val="18"/>
                <w:szCs w:val="18"/>
                <w:lang w:bidi="ar"/>
              </w:rPr>
              <w:t>债务人名称</w:t>
            </w:r>
          </w:p>
        </w:tc>
        <w:tc>
          <w:tcPr>
            <w:tcW w:w="1132"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widowControl/>
              <w:adjustRightInd w:val="0"/>
              <w:snapToGrid w:val="0"/>
              <w:spacing w:line="240" w:lineRule="auto"/>
              <w:ind w:firstLine="0" w:firstLineChars="0"/>
              <w:jc w:val="left"/>
              <w:textAlignment w:val="center"/>
              <w:rPr>
                <w:rFonts w:hAnsi="方正仿宋简体" w:cs="方正仿宋简体"/>
                <w:b/>
                <w:bCs/>
                <w:kern w:val="0"/>
                <w:sz w:val="18"/>
                <w:szCs w:val="18"/>
                <w:lang w:bidi="ar"/>
              </w:rPr>
            </w:pPr>
            <w:r>
              <w:rPr>
                <w:rFonts w:hint="eastAsia" w:hAnsi="方正仿宋简体" w:cs="方正仿宋简体"/>
                <w:b/>
                <w:bCs/>
                <w:kern w:val="0"/>
                <w:sz w:val="18"/>
                <w:szCs w:val="18"/>
                <w:lang w:bidi="ar"/>
              </w:rPr>
              <w:t>借款合同号</w:t>
            </w:r>
          </w:p>
        </w:tc>
        <w:tc>
          <w:tcPr>
            <w:tcW w:w="864"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widowControl/>
              <w:adjustRightInd w:val="0"/>
              <w:snapToGrid w:val="0"/>
              <w:spacing w:line="240" w:lineRule="auto"/>
              <w:ind w:firstLine="0" w:firstLineChars="0"/>
              <w:jc w:val="left"/>
              <w:textAlignment w:val="center"/>
              <w:rPr>
                <w:rFonts w:hAnsi="方正仿宋简体" w:cs="方正仿宋简体"/>
                <w:b/>
                <w:bCs/>
                <w:sz w:val="18"/>
                <w:szCs w:val="18"/>
              </w:rPr>
            </w:pPr>
            <w:r>
              <w:rPr>
                <w:rFonts w:hint="eastAsia" w:hAnsi="方正仿宋简体" w:cs="方正仿宋简体"/>
                <w:b/>
                <w:bCs/>
                <w:kern w:val="0"/>
                <w:sz w:val="18"/>
                <w:szCs w:val="18"/>
                <w:lang w:bidi="ar"/>
              </w:rPr>
              <w:t>本金余额</w:t>
            </w:r>
          </w:p>
        </w:tc>
        <w:tc>
          <w:tcPr>
            <w:tcW w:w="936"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widowControl/>
              <w:adjustRightInd w:val="0"/>
              <w:snapToGrid w:val="0"/>
              <w:spacing w:line="240" w:lineRule="auto"/>
              <w:ind w:firstLine="0" w:firstLineChars="0"/>
              <w:jc w:val="center"/>
              <w:textAlignment w:val="center"/>
              <w:rPr>
                <w:rFonts w:hAnsi="方正仿宋简体" w:cs="方正仿宋简体"/>
                <w:b/>
                <w:bCs/>
                <w:sz w:val="18"/>
                <w:szCs w:val="18"/>
              </w:rPr>
            </w:pPr>
            <w:r>
              <w:rPr>
                <w:rFonts w:hint="eastAsia" w:hAnsi="方正仿宋简体" w:cs="方正仿宋简体"/>
                <w:b/>
                <w:bCs/>
                <w:kern w:val="0"/>
                <w:sz w:val="18"/>
                <w:szCs w:val="18"/>
                <w:lang w:bidi="ar"/>
              </w:rPr>
              <w:t>利息金额</w:t>
            </w:r>
          </w:p>
        </w:tc>
        <w:tc>
          <w:tcPr>
            <w:tcW w:w="805" w:type="dxa"/>
            <w:tcBorders>
              <w:top w:val="single" w:color="000000" w:sz="4" w:space="0"/>
              <w:left w:val="single" w:color="000000" w:sz="4" w:space="0"/>
              <w:bottom w:val="nil"/>
              <w:right w:val="single" w:color="000000" w:sz="4" w:space="0"/>
            </w:tcBorders>
            <w:shd w:val="clear" w:color="auto" w:fill="BEBEBE" w:themeFill="background1" w:themeFillShade="BF"/>
            <w:vAlign w:val="center"/>
          </w:tcPr>
          <w:p>
            <w:pPr>
              <w:widowControl/>
              <w:adjustRightInd w:val="0"/>
              <w:snapToGrid w:val="0"/>
              <w:spacing w:line="240" w:lineRule="auto"/>
              <w:ind w:firstLine="0" w:firstLineChars="0"/>
              <w:jc w:val="center"/>
              <w:textAlignment w:val="center"/>
              <w:rPr>
                <w:rFonts w:hAnsi="方正仿宋简体" w:cs="方正仿宋简体"/>
                <w:b/>
                <w:bCs/>
                <w:sz w:val="18"/>
                <w:szCs w:val="18"/>
              </w:rPr>
            </w:pPr>
            <w:r>
              <w:rPr>
                <w:rFonts w:hint="eastAsia" w:hAnsi="方正仿宋简体" w:cs="方正仿宋简体"/>
                <w:b/>
                <w:bCs/>
                <w:kern w:val="0"/>
                <w:sz w:val="18"/>
                <w:szCs w:val="18"/>
                <w:lang w:bidi="ar"/>
              </w:rPr>
              <w:t>其他费用</w:t>
            </w:r>
          </w:p>
        </w:tc>
        <w:tc>
          <w:tcPr>
            <w:tcW w:w="989"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widowControl/>
              <w:adjustRightInd w:val="0"/>
              <w:snapToGrid w:val="0"/>
              <w:spacing w:line="240" w:lineRule="auto"/>
              <w:ind w:firstLine="0" w:firstLineChars="0"/>
              <w:jc w:val="center"/>
              <w:textAlignment w:val="center"/>
              <w:rPr>
                <w:rFonts w:hAnsi="方正仿宋简体" w:cs="方正仿宋简体"/>
                <w:b/>
                <w:bCs/>
                <w:sz w:val="18"/>
                <w:szCs w:val="18"/>
              </w:rPr>
            </w:pPr>
            <w:r>
              <w:rPr>
                <w:rFonts w:hint="eastAsia" w:hAnsi="方正仿宋简体" w:cs="方正仿宋简体"/>
                <w:b/>
                <w:bCs/>
                <w:kern w:val="0"/>
                <w:sz w:val="18"/>
                <w:szCs w:val="18"/>
                <w:lang w:bidi="ar"/>
              </w:rPr>
              <w:t>现债权合计</w:t>
            </w:r>
          </w:p>
        </w:tc>
        <w:tc>
          <w:tcPr>
            <w:tcW w:w="3691" w:type="dxa"/>
            <w:tcBorders>
              <w:top w:val="single" w:color="000000" w:sz="4" w:space="0"/>
              <w:left w:val="single" w:color="000000" w:sz="4" w:space="0"/>
              <w:bottom w:val="nil"/>
              <w:right w:val="single" w:color="000000" w:sz="4" w:space="0"/>
            </w:tcBorders>
            <w:shd w:val="clear" w:color="auto" w:fill="BEBEBE" w:themeFill="background1" w:themeFillShade="BF"/>
            <w:noWrap/>
            <w:vAlign w:val="center"/>
          </w:tcPr>
          <w:p>
            <w:pPr>
              <w:widowControl/>
              <w:adjustRightInd w:val="0"/>
              <w:snapToGrid w:val="0"/>
              <w:spacing w:line="240" w:lineRule="auto"/>
              <w:ind w:firstLine="0" w:firstLineChars="0"/>
              <w:jc w:val="center"/>
              <w:textAlignment w:val="center"/>
              <w:rPr>
                <w:rFonts w:hAnsi="方正仿宋简体" w:cs="方正仿宋简体"/>
                <w:b/>
                <w:bCs/>
                <w:sz w:val="18"/>
                <w:szCs w:val="18"/>
              </w:rPr>
            </w:pPr>
            <w:r>
              <w:rPr>
                <w:rFonts w:hint="eastAsia" w:hAnsi="方正仿宋简体" w:cs="方正仿宋简体"/>
                <w:b/>
                <w:bCs/>
                <w:kern w:val="0"/>
                <w:sz w:val="18"/>
                <w:szCs w:val="18"/>
                <w:lang w:bidi="ar"/>
              </w:rPr>
              <w:t>质押/保证情况</w:t>
            </w:r>
          </w:p>
        </w:tc>
      </w:tr>
      <w:tr>
        <w:tblPrEx>
          <w:tblLayout w:type="fixed"/>
          <w:tblCellMar>
            <w:top w:w="0" w:type="dxa"/>
            <w:left w:w="108" w:type="dxa"/>
            <w:bottom w:w="0" w:type="dxa"/>
            <w:right w:w="108" w:type="dxa"/>
          </w:tblCellMar>
        </w:tblPrEx>
        <w:trPr>
          <w:trHeight w:val="427" w:hRule="atLeast"/>
        </w:trPr>
        <w:tc>
          <w:tcPr>
            <w:tcW w:w="343"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1</w:t>
            </w:r>
          </w:p>
        </w:tc>
        <w:tc>
          <w:tcPr>
            <w:tcW w:w="1234" w:type="dxa"/>
            <w:tcBorders>
              <w:top w:val="single" w:color="000000" w:sz="4" w:space="0"/>
              <w:left w:val="single" w:color="000000" w:sz="4" w:space="0"/>
              <w:bottom w:val="nil"/>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贵州永亨合生汽车销售有限公司</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福泉农商马场坪支行流贷字第2442017051000030号</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8,615,737.84 </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4,868,387.08 </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88,370.00 </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13,572,494.92 </w:t>
            </w:r>
          </w:p>
        </w:tc>
        <w:tc>
          <w:tcPr>
            <w:tcW w:w="36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left"/>
              <w:textAlignment w:val="center"/>
              <w:rPr>
                <w:rFonts w:hAnsi="方正仿宋简体" w:cs="方正仿宋简体"/>
                <w:sz w:val="18"/>
                <w:szCs w:val="18"/>
              </w:rPr>
            </w:pPr>
            <w:r>
              <w:rPr>
                <w:rFonts w:hint="eastAsia" w:hAnsi="方正仿宋简体" w:cs="方正仿宋简体"/>
                <w:kern w:val="0"/>
                <w:sz w:val="18"/>
                <w:szCs w:val="18"/>
                <w:lang w:bidi="ar"/>
              </w:rPr>
              <w:t>质押人：贵州大地吉祥融资担保有限公司。保证人：贵州大地吉祥融资担保有限公司、潘春琪、潘岗、唐光英</w:t>
            </w:r>
          </w:p>
        </w:tc>
      </w:tr>
      <w:tr>
        <w:tblPrEx>
          <w:tblLayout w:type="fixed"/>
          <w:tblCellMar>
            <w:top w:w="0" w:type="dxa"/>
            <w:left w:w="108" w:type="dxa"/>
            <w:bottom w:w="0" w:type="dxa"/>
            <w:right w:w="108" w:type="dxa"/>
          </w:tblCellMar>
        </w:tblPrEx>
        <w:trPr>
          <w:trHeight w:val="424" w:hRule="atLeast"/>
        </w:trPr>
        <w:tc>
          <w:tcPr>
            <w:tcW w:w="343"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2</w:t>
            </w:r>
          </w:p>
        </w:tc>
        <w:tc>
          <w:tcPr>
            <w:tcW w:w="1234" w:type="dxa"/>
            <w:tcBorders>
              <w:top w:val="single" w:color="000000" w:sz="4" w:space="0"/>
              <w:left w:val="single" w:color="000000" w:sz="4" w:space="0"/>
              <w:bottom w:val="nil"/>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贵州安辉汽车贸易有限公司</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sz w:val="18"/>
                <w:szCs w:val="18"/>
              </w:rPr>
              <w:t>2442017051000042</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8,615,889.54 </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4,868,455.09 </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88,621.00 </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13,572,965.63 </w:t>
            </w:r>
          </w:p>
        </w:tc>
        <w:tc>
          <w:tcPr>
            <w:tcW w:w="3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质押人：贵州大地吉祥融资担保有限司</w:t>
            </w:r>
          </w:p>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保证人：贵州大地吉祥融资担保有限公司、潘春琪、唐光英、杨剑、杨安辉</w:t>
            </w:r>
          </w:p>
        </w:tc>
      </w:tr>
      <w:tr>
        <w:tblPrEx>
          <w:tblLayout w:type="fixed"/>
          <w:tblCellMar>
            <w:top w:w="0" w:type="dxa"/>
            <w:left w:w="108" w:type="dxa"/>
            <w:bottom w:w="0" w:type="dxa"/>
            <w:right w:w="108" w:type="dxa"/>
          </w:tblCellMar>
        </w:tblPrEx>
        <w:trPr>
          <w:trHeight w:val="944" w:hRule="atLeast"/>
        </w:trPr>
        <w:tc>
          <w:tcPr>
            <w:tcW w:w="343"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3</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贵州华星斯卡特汽车销售有限公司</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sz w:val="18"/>
                <w:szCs w:val="18"/>
              </w:rPr>
              <w:t>2442017051000039</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8,615,609.13 </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4,868,329.37 </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88,319.00 </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13,572,257.50 </w:t>
            </w:r>
          </w:p>
        </w:tc>
        <w:tc>
          <w:tcPr>
            <w:tcW w:w="3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质押人：贵州大地吉祥融资担保有限公司。保证人：贵州大地吉祥融资担保有限公司、潘春琪、唐光英、杨槐、王真群</w:t>
            </w:r>
          </w:p>
        </w:tc>
      </w:tr>
      <w:tr>
        <w:tblPrEx>
          <w:tblLayout w:type="fixed"/>
          <w:tblCellMar>
            <w:top w:w="0" w:type="dxa"/>
            <w:left w:w="108" w:type="dxa"/>
            <w:bottom w:w="0" w:type="dxa"/>
            <w:right w:w="108" w:type="dxa"/>
          </w:tblCellMar>
        </w:tblPrEx>
        <w:trPr>
          <w:trHeight w:val="944" w:hRule="atLeast"/>
        </w:trPr>
        <w:tc>
          <w:tcPr>
            <w:tcW w:w="343"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4</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贵州陕西重型汽车销售有限公司</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sz w:val="18"/>
                <w:szCs w:val="18"/>
              </w:rPr>
              <w:t>2442017051000032</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8,615,862.46 </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4,868,442.98 </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88,000.00 </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13,572,305.44 </w:t>
            </w:r>
          </w:p>
        </w:tc>
        <w:tc>
          <w:tcPr>
            <w:tcW w:w="3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质押人：贵州大地吉祥融资担保有限公司。保证人：贵州大地吉祥融资担保有限公司、潘春琪、唐光英、卢睿、杨振杰、石传萍</w:t>
            </w:r>
          </w:p>
        </w:tc>
      </w:tr>
      <w:tr>
        <w:tblPrEx>
          <w:tblLayout w:type="fixed"/>
          <w:tblCellMar>
            <w:top w:w="0" w:type="dxa"/>
            <w:left w:w="108" w:type="dxa"/>
            <w:bottom w:w="0" w:type="dxa"/>
            <w:right w:w="108" w:type="dxa"/>
          </w:tblCellMar>
        </w:tblPrEx>
        <w:trPr>
          <w:trHeight w:val="944" w:hRule="atLeast"/>
        </w:trPr>
        <w:tc>
          <w:tcPr>
            <w:tcW w:w="343"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5</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贵州陕汽工贸有限公司司</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sz w:val="18"/>
                <w:szCs w:val="18"/>
              </w:rPr>
              <w:t>2442017051000037</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8,556,703.08 </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4,867,854.43 </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88,362.00 </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13,512,919.51 </w:t>
            </w:r>
          </w:p>
        </w:tc>
        <w:tc>
          <w:tcPr>
            <w:tcW w:w="3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质押人：贵州大地吉祥融资担保有限公司。保证人：贵州大地吉祥融资担保有限公司、潘春琪、唐光英、黄光怀、邹印、刘净、贺安星</w:t>
            </w:r>
          </w:p>
        </w:tc>
      </w:tr>
      <w:tr>
        <w:tblPrEx>
          <w:tblLayout w:type="fixed"/>
          <w:tblCellMar>
            <w:top w:w="0" w:type="dxa"/>
            <w:left w:w="108" w:type="dxa"/>
            <w:bottom w:w="0" w:type="dxa"/>
            <w:right w:w="108" w:type="dxa"/>
          </w:tblCellMar>
        </w:tblPrEx>
        <w:trPr>
          <w:trHeight w:val="687" w:hRule="atLeast"/>
        </w:trPr>
        <w:tc>
          <w:tcPr>
            <w:tcW w:w="343"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6</w:t>
            </w:r>
          </w:p>
        </w:tc>
        <w:tc>
          <w:tcPr>
            <w:tcW w:w="1234" w:type="dxa"/>
            <w:tcBorders>
              <w:top w:val="single" w:color="000000" w:sz="4" w:space="0"/>
              <w:left w:val="single" w:color="000000" w:sz="4" w:space="0"/>
              <w:bottom w:val="nil"/>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福泉市鑫达矿业有限责任公司</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sz w:val="18"/>
                <w:szCs w:val="18"/>
                <w:lang w:bidi="ar"/>
              </w:rPr>
              <w:t>第201606008-10201606008-11、201606008-12号</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798,000.00 </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938,847.00 </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9,645.00 </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1,746,492.00 </w:t>
            </w:r>
          </w:p>
        </w:tc>
        <w:tc>
          <w:tcPr>
            <w:tcW w:w="3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质押人：福泉市鑫达矿业有限责任公司</w:t>
            </w:r>
          </w:p>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保证人：贵州融辰融资担保有限公司、冯大会、王光德、王证淞、陆庆玲</w:t>
            </w:r>
          </w:p>
        </w:tc>
      </w:tr>
      <w:tr>
        <w:tblPrEx>
          <w:tblLayout w:type="fixed"/>
          <w:tblCellMar>
            <w:top w:w="0" w:type="dxa"/>
            <w:left w:w="108" w:type="dxa"/>
            <w:bottom w:w="0" w:type="dxa"/>
            <w:right w:w="108" w:type="dxa"/>
          </w:tblCellMar>
        </w:tblPrEx>
        <w:trPr>
          <w:trHeight w:val="929" w:hRule="atLeast"/>
        </w:trPr>
        <w:tc>
          <w:tcPr>
            <w:tcW w:w="343"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7</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kern w:val="0"/>
                <w:sz w:val="18"/>
                <w:szCs w:val="18"/>
                <w:lang w:bidi="ar"/>
              </w:rPr>
              <w:t>福泉市屹达矿业有限责任公司</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rPr>
            </w:pPr>
            <w:r>
              <w:rPr>
                <w:rFonts w:hint="eastAsia" w:hAnsi="方正仿宋简体" w:cs="方正仿宋简体"/>
                <w:sz w:val="18"/>
                <w:szCs w:val="18"/>
              </w:rPr>
              <w:t>第20160505-（01-010）号</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4,454,474.42 </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4,998,821.92 </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33,920.50 </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sz w:val="18"/>
                <w:szCs w:val="18"/>
              </w:rPr>
            </w:pPr>
            <w:r>
              <w:rPr>
                <w:rFonts w:hint="eastAsia" w:ascii="宋体" w:hAnsi="宋体" w:eastAsia="宋体" w:cs="宋体"/>
                <w:kern w:val="0"/>
                <w:sz w:val="20"/>
                <w:lang w:bidi="ar"/>
              </w:rPr>
              <w:t xml:space="preserve">9,487,216.84 </w:t>
            </w:r>
          </w:p>
        </w:tc>
        <w:tc>
          <w:tcPr>
            <w:tcW w:w="3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质押人：福泉市屹达矿业有限责任公司、贵州融辰融资担保有限公司</w:t>
            </w:r>
          </w:p>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保证人：贵州融辰融资担保有限公司、张文伍、冯嘉彦、陈福惠、陆治国、冯大会、王光德、王证淞、陆庆玲</w:t>
            </w:r>
          </w:p>
        </w:tc>
      </w:tr>
      <w:tr>
        <w:tblPrEx>
          <w:tblLayout w:type="fixed"/>
          <w:tblCellMar>
            <w:top w:w="0" w:type="dxa"/>
            <w:left w:w="108" w:type="dxa"/>
            <w:bottom w:w="0" w:type="dxa"/>
            <w:right w:w="108" w:type="dxa"/>
          </w:tblCellMar>
        </w:tblPrEx>
        <w:trPr>
          <w:trHeight w:val="929" w:hRule="atLeast"/>
        </w:trPr>
        <w:tc>
          <w:tcPr>
            <w:tcW w:w="343" w:type="dxa"/>
            <w:tcBorders>
              <w:top w:val="single" w:color="000000" w:sz="4" w:space="0"/>
              <w:left w:val="single" w:color="000000" w:sz="4" w:space="0"/>
              <w:bottom w:val="nil"/>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8</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福泉市三根树</w:t>
            </w:r>
            <w:r>
              <w:rPr>
                <w:rFonts w:hint="eastAsia" w:hAnsi="方正仿宋简体" w:cs="方正仿宋简体"/>
                <w:kern w:val="0"/>
                <w:sz w:val="18"/>
                <w:szCs w:val="18"/>
                <w:lang w:eastAsia="zh-CN" w:bidi="ar"/>
              </w:rPr>
              <w:t>矿业</w:t>
            </w:r>
            <w:r>
              <w:rPr>
                <w:rFonts w:hint="eastAsia" w:hAnsi="方正仿宋简体" w:cs="方正仿宋简体"/>
                <w:kern w:val="0"/>
                <w:sz w:val="18"/>
                <w:szCs w:val="18"/>
                <w:lang w:bidi="ar"/>
              </w:rPr>
              <w:t>有限公司</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jc w:val="center"/>
              <w:textAlignment w:val="center"/>
              <w:rPr>
                <w:rFonts w:hAnsi="方正仿宋简体" w:cs="方正仿宋简体"/>
                <w:sz w:val="18"/>
                <w:szCs w:val="18"/>
                <w:lang w:bidi="ar"/>
              </w:rPr>
            </w:pPr>
            <w:r>
              <w:rPr>
                <w:rFonts w:hint="eastAsia" w:hAnsi="方正仿宋简体" w:cs="方正仿宋简体"/>
                <w:sz w:val="18"/>
                <w:szCs w:val="18"/>
                <w:lang w:bidi="ar"/>
              </w:rPr>
              <w:t>（福）农信社固借字（2014）第10-18号</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kern w:val="0"/>
                <w:sz w:val="18"/>
                <w:szCs w:val="18"/>
                <w:lang w:bidi="ar"/>
              </w:rPr>
            </w:pPr>
            <w:r>
              <w:rPr>
                <w:rFonts w:hint="eastAsia" w:ascii="宋体" w:hAnsi="宋体" w:eastAsia="宋体" w:cs="宋体"/>
                <w:kern w:val="0"/>
                <w:sz w:val="21"/>
                <w:szCs w:val="21"/>
                <w:lang w:bidi="ar"/>
              </w:rPr>
              <w:t xml:space="preserve">3,850,000.00 </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kern w:val="0"/>
                <w:sz w:val="18"/>
                <w:szCs w:val="18"/>
                <w:lang w:bidi="ar"/>
              </w:rPr>
            </w:pPr>
            <w:r>
              <w:rPr>
                <w:rFonts w:hint="eastAsia" w:ascii="宋体" w:hAnsi="宋体" w:eastAsia="宋体" w:cs="宋体"/>
                <w:kern w:val="0"/>
                <w:sz w:val="21"/>
                <w:szCs w:val="21"/>
                <w:lang w:bidi="ar"/>
              </w:rPr>
              <w:t xml:space="preserve">2,773,937.85 </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kern w:val="0"/>
                <w:sz w:val="18"/>
                <w:szCs w:val="18"/>
                <w:lang w:bidi="ar"/>
              </w:rPr>
            </w:pPr>
            <w:r>
              <w:rPr>
                <w:rFonts w:hint="eastAsia" w:ascii="宋体" w:hAnsi="宋体" w:eastAsia="宋体" w:cs="宋体"/>
                <w:kern w:val="0"/>
                <w:sz w:val="21"/>
                <w:szCs w:val="21"/>
                <w:lang w:bidi="ar"/>
              </w:rPr>
              <w:t xml:space="preserve">0.00 </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kern w:val="0"/>
                <w:sz w:val="18"/>
                <w:szCs w:val="18"/>
                <w:lang w:bidi="ar"/>
              </w:rPr>
            </w:pPr>
            <w:r>
              <w:rPr>
                <w:rFonts w:hint="eastAsia" w:ascii="宋体" w:hAnsi="宋体" w:eastAsia="宋体" w:cs="宋体"/>
                <w:kern w:val="0"/>
                <w:sz w:val="20"/>
                <w:lang w:bidi="ar"/>
              </w:rPr>
              <w:t xml:space="preserve">6,623,937.85 </w:t>
            </w:r>
          </w:p>
        </w:tc>
        <w:tc>
          <w:tcPr>
            <w:tcW w:w="3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jc w:val="center"/>
              <w:textAlignment w:val="center"/>
              <w:rPr>
                <w:rFonts w:hAnsi="方正仿宋简体" w:cs="方正仿宋简体"/>
                <w:kern w:val="0"/>
                <w:sz w:val="18"/>
                <w:szCs w:val="18"/>
                <w:lang w:bidi="ar"/>
              </w:rPr>
            </w:pPr>
            <w:r>
              <w:rPr>
                <w:rFonts w:hint="eastAsia" w:hAnsi="方正仿宋简体" w:cs="方正仿宋简体"/>
                <w:kern w:val="0"/>
                <w:sz w:val="18"/>
                <w:szCs w:val="18"/>
                <w:lang w:bidi="ar"/>
              </w:rPr>
              <w:t>保证人：贵州麟乾咨询服务有限公司（原贵州麟乾融资担保有限公司）</w:t>
            </w:r>
          </w:p>
        </w:tc>
      </w:tr>
      <w:tr>
        <w:tblPrEx>
          <w:tblLayout w:type="fixed"/>
          <w:tblCellMar>
            <w:top w:w="0" w:type="dxa"/>
            <w:left w:w="108" w:type="dxa"/>
            <w:bottom w:w="0" w:type="dxa"/>
            <w:right w:w="108" w:type="dxa"/>
          </w:tblCellMar>
        </w:tblPrEx>
        <w:trPr>
          <w:trHeight w:val="707" w:hRule="atLeast"/>
        </w:trPr>
        <w:tc>
          <w:tcPr>
            <w:tcW w:w="27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textAlignment w:val="center"/>
              <w:rPr>
                <w:rFonts w:hAnsi="方正仿宋简体" w:cs="方正仿宋简体"/>
                <w:b/>
                <w:bCs/>
                <w:kern w:val="0"/>
                <w:sz w:val="18"/>
                <w:szCs w:val="18"/>
                <w:lang w:bidi="ar"/>
              </w:rPr>
            </w:pPr>
            <w:r>
              <w:rPr>
                <w:rFonts w:hint="eastAsia" w:hAnsi="方正仿宋简体" w:cs="方正仿宋简体"/>
                <w:b/>
                <w:bCs/>
                <w:kern w:val="0"/>
                <w:sz w:val="18"/>
                <w:szCs w:val="18"/>
                <w:lang w:bidi="ar"/>
              </w:rPr>
              <w:t>合计</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b/>
                <w:bCs/>
                <w:sz w:val="18"/>
                <w:szCs w:val="18"/>
              </w:rPr>
            </w:pPr>
            <w:r>
              <w:rPr>
                <w:rFonts w:hint="eastAsia" w:ascii="仿宋" w:hAnsi="仿宋" w:eastAsia="仿宋" w:cs="仿宋"/>
                <w:b/>
                <w:kern w:val="0"/>
                <w:sz w:val="21"/>
                <w:szCs w:val="21"/>
                <w:lang w:bidi="ar"/>
              </w:rPr>
              <w:t xml:space="preserve">52,122,276.47 </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ascii="宋体" w:hAnsi="宋体" w:eastAsia="宋体" w:cs="宋体"/>
                <w:b/>
                <w:bCs/>
                <w:kern w:val="0"/>
                <w:sz w:val="20"/>
                <w:lang w:bidi="ar"/>
              </w:rPr>
            </w:pPr>
            <w:r>
              <w:rPr>
                <w:rFonts w:hint="eastAsia" w:ascii="宋体" w:hAnsi="宋体" w:eastAsia="宋体" w:cs="宋体"/>
                <w:b/>
                <w:bCs/>
                <w:kern w:val="0"/>
                <w:sz w:val="20"/>
                <w:lang w:bidi="ar"/>
              </w:rPr>
              <w:t xml:space="preserve">33,053,075.72 </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ascii="宋体" w:hAnsi="宋体" w:eastAsia="宋体" w:cs="宋体"/>
                <w:b/>
                <w:bCs/>
                <w:kern w:val="0"/>
                <w:sz w:val="20"/>
                <w:lang w:bidi="ar"/>
              </w:rPr>
            </w:pPr>
            <w:r>
              <w:rPr>
                <w:rFonts w:hint="eastAsia" w:ascii="宋体" w:hAnsi="宋体" w:eastAsia="宋体" w:cs="宋体"/>
                <w:b/>
                <w:bCs/>
                <w:kern w:val="0"/>
                <w:sz w:val="20"/>
                <w:lang w:bidi="ar"/>
              </w:rPr>
              <w:t xml:space="preserve">485,237.50 </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spacing w:line="240" w:lineRule="auto"/>
              <w:ind w:firstLine="0" w:firstLineChars="0"/>
              <w:textAlignment w:val="center"/>
              <w:rPr>
                <w:rFonts w:hAnsi="方正仿宋简体" w:cs="方正仿宋简体"/>
                <w:b/>
                <w:bCs/>
                <w:sz w:val="18"/>
                <w:szCs w:val="18"/>
              </w:rPr>
            </w:pPr>
            <w:r>
              <w:rPr>
                <w:rFonts w:hint="eastAsia" w:ascii="宋体" w:hAnsi="宋体" w:eastAsia="宋体" w:cs="宋体"/>
                <w:b/>
                <w:bCs/>
                <w:kern w:val="0"/>
                <w:sz w:val="20"/>
                <w:lang w:bidi="ar"/>
              </w:rPr>
              <w:t xml:space="preserve">85,660,589.69 </w:t>
            </w:r>
          </w:p>
        </w:tc>
        <w:tc>
          <w:tcPr>
            <w:tcW w:w="3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spacing w:line="240" w:lineRule="auto"/>
              <w:ind w:firstLine="0" w:firstLineChars="0"/>
              <w:jc w:val="center"/>
              <w:rPr>
                <w:rFonts w:hAnsi="方正仿宋简体" w:cs="方正仿宋简体"/>
                <w:b/>
                <w:bCs/>
                <w:sz w:val="18"/>
                <w:szCs w:val="18"/>
              </w:rPr>
            </w:pPr>
            <w:r>
              <w:rPr>
                <w:rFonts w:hint="eastAsia" w:hAnsi="方正仿宋简体" w:cs="方正仿宋简体"/>
                <w:b/>
                <w:bCs/>
                <w:sz w:val="18"/>
                <w:szCs w:val="18"/>
              </w:rPr>
              <w:t>-</w:t>
            </w:r>
          </w:p>
        </w:tc>
      </w:tr>
    </w:tbl>
    <w:p>
      <w:pPr>
        <w:numPr>
          <w:ilvl w:val="0"/>
          <w:numId w:val="1"/>
        </w:numPr>
        <w:adjustRightInd w:val="0"/>
        <w:snapToGrid w:val="0"/>
        <w:spacing w:line="240" w:lineRule="auto"/>
        <w:ind w:firstLine="704" w:firstLineChars="220"/>
        <w:rPr>
          <w:rFonts w:hAnsi="仿宋" w:cs="宋体"/>
          <w:szCs w:val="32"/>
        </w:rPr>
      </w:pPr>
      <w:r>
        <w:rPr>
          <w:rFonts w:hint="eastAsia" w:hAnsi="仿宋" w:cs="宋体"/>
          <w:szCs w:val="32"/>
        </w:rPr>
        <w:t>该8户中，贵州永亨合生汽车销售有限公司、贵州安辉汽车贸易有限公司、贵州华星斯卡特汽车销售有限公司、贵州陕</w:t>
      </w:r>
      <w:bookmarkStart w:id="8" w:name="_GoBack"/>
      <w:bookmarkEnd w:id="8"/>
      <w:r>
        <w:rPr>
          <w:rFonts w:hint="eastAsia" w:hAnsi="仿宋" w:cs="宋体"/>
          <w:szCs w:val="32"/>
        </w:rPr>
        <w:t>西重型汽车销售有限公司、贵州陕汽工贸有限公司、福泉市鑫达矿业有限责任公司、福泉市屹达矿业有限责任公司等7户债权在收购时已取得生效判决，目前除了贵州安辉汽车贸易有限公司、贵州陕汽工贸有限公司及福泉市屹达矿业有限责任公司法院已下达终结本次执行裁定外，其他4户债权法院将于近期下达终本裁定，另一户债权福泉市三根树矿业有限公司因无任何财产，项目团队持有期间并未起诉。</w:t>
      </w:r>
    </w:p>
    <w:p>
      <w:pPr>
        <w:ind w:firstLine="707" w:firstLineChars="220"/>
        <w:rPr>
          <w:rFonts w:hAnsi="仿宋" w:cs="宋体"/>
          <w:b/>
          <w:bCs/>
          <w:szCs w:val="32"/>
        </w:rPr>
      </w:pPr>
      <w:r>
        <w:rPr>
          <w:rFonts w:hint="eastAsia" w:hAnsi="仿宋" w:cs="宋体"/>
          <w:b/>
          <w:bCs/>
          <w:szCs w:val="32"/>
          <w:lang w:val="en-US" w:eastAsia="zh-CN"/>
        </w:rPr>
        <w:t>2</w:t>
      </w:r>
      <w:r>
        <w:rPr>
          <w:rFonts w:hint="eastAsia" w:hAnsi="仿宋" w:cs="宋体"/>
          <w:b/>
          <w:bCs/>
          <w:szCs w:val="32"/>
        </w:rPr>
        <w:t>.债权担保情况</w:t>
      </w:r>
    </w:p>
    <w:p>
      <w:pPr>
        <w:snapToGrid w:val="0"/>
        <w:ind w:firstLine="0" w:firstLineChars="0"/>
        <w:rPr>
          <w:rFonts w:hAnsi="Calibri"/>
          <w:szCs w:val="32"/>
        </w:rPr>
      </w:pPr>
      <w:r>
        <w:rPr>
          <w:rFonts w:hint="eastAsia" w:hAnsi="仿宋" w:cs="宋体"/>
          <w:b/>
          <w:bCs/>
          <w:szCs w:val="32"/>
        </w:rPr>
        <w:t xml:space="preserve">    </w:t>
      </w:r>
      <w:r>
        <w:rPr>
          <w:rFonts w:hint="eastAsia" w:hAnsi="Calibri"/>
          <w:szCs w:val="32"/>
        </w:rPr>
        <w:t>该8户债权均无抵押担保，全部都是连带责任保证及质押方式担保，具体保证人及质押人前文已述。</w:t>
      </w:r>
    </w:p>
    <w:p>
      <w:pPr>
        <w:snapToGrid/>
        <w:ind w:firstLine="640" w:firstLineChars="200"/>
        <w:outlineLvl w:val="1"/>
        <w:rPr>
          <w:rFonts w:hint="eastAsia" w:ascii="黑体" w:hAnsi="黑体" w:eastAsia="黑体" w:cs="黑体"/>
          <w:szCs w:val="22"/>
        </w:rPr>
      </w:pPr>
      <w:r>
        <w:rPr>
          <w:rFonts w:hint="eastAsia" w:ascii="黑体" w:hAnsi="黑体" w:eastAsia="黑体" w:cs="黑体"/>
          <w:szCs w:val="22"/>
        </w:rPr>
        <w:t>二、风险提示</w:t>
      </w:r>
    </w:p>
    <w:p>
      <w:pPr>
        <w:snapToGrid w:val="0"/>
        <w:ind w:firstLine="640"/>
      </w:pPr>
      <w:r>
        <w:rPr>
          <w:rFonts w:hint="eastAsia"/>
        </w:rPr>
        <w:t>本项目标的资产系不良资产，存在诸多风险和瑕疵，转让方系按标的资产的现状向受让方出让，转让方不对标的资产的合法、有效、可执行、可回收及/或时效性等做出任何保证。</w:t>
      </w:r>
    </w:p>
    <w:p>
      <w:pPr>
        <w:snapToGrid w:val="0"/>
        <w:ind w:firstLine="640"/>
      </w:pPr>
      <w:r>
        <w:rPr>
          <w:rFonts w:hint="eastAsia"/>
        </w:rPr>
        <w:t>(1)</w:t>
      </w:r>
      <w:r>
        <w:rPr>
          <w:rFonts w:hint="eastAsia"/>
        </w:rPr>
        <w:tab/>
      </w:r>
      <w:r>
        <w:rPr>
          <w:rFonts w:hint="eastAsia"/>
        </w:rPr>
        <w:t>受让方已被告知并完全理解，受让的标的资产，可能因法律、政策等原因，受让方受让后以其名义向法院或仲裁机构提起诉讼或仲裁、申请变更诉讼或执行主体或破产债权人时，因该等法院或仲裁机构不予受理、不予审理、不予变更、不予执行等致使受让方权利难以行使或落空。</w:t>
      </w:r>
    </w:p>
    <w:p>
      <w:pPr>
        <w:snapToGrid w:val="0"/>
        <w:ind w:firstLine="640"/>
      </w:pPr>
      <w:r>
        <w:rPr>
          <w:rFonts w:hint="eastAsia"/>
        </w:rPr>
        <w:t>(2)</w:t>
      </w:r>
      <w:r>
        <w:rPr>
          <w:rFonts w:hint="eastAsia"/>
        </w:rPr>
        <w:tab/>
      </w:r>
      <w:r>
        <w:rPr>
          <w:rFonts w:hint="eastAsia"/>
        </w:rPr>
        <w:t>受让方已被告知并完全理解，受让方受让标的资产后，由于相关法律及政策限制，导致其能够主张或实现的标的资产数额可能小于本协议中列明的标的资产数额。</w:t>
      </w:r>
    </w:p>
    <w:p>
      <w:pPr>
        <w:snapToGrid w:val="0"/>
        <w:ind w:firstLine="640"/>
      </w:pPr>
      <w:r>
        <w:rPr>
          <w:rFonts w:hint="eastAsia"/>
        </w:rPr>
        <w:t>(3)</w:t>
      </w:r>
      <w:r>
        <w:rPr>
          <w:rFonts w:hint="eastAsia"/>
        </w:rPr>
        <w:tab/>
      </w:r>
      <w:r>
        <w:rPr>
          <w:rFonts w:hint="eastAsia"/>
        </w:rPr>
        <w:t>受让方已被告知并完全理解，标的资产的相关权利可能无法变更至受让方名下。</w:t>
      </w:r>
    </w:p>
    <w:p>
      <w:pPr>
        <w:snapToGrid w:val="0"/>
        <w:ind w:firstLine="640"/>
      </w:pPr>
      <w:r>
        <w:rPr>
          <w:rFonts w:hint="eastAsia"/>
        </w:rPr>
        <w:t>(4)</w:t>
      </w:r>
      <w:r>
        <w:rPr>
          <w:rFonts w:hint="eastAsia"/>
        </w:rPr>
        <w:tab/>
      </w:r>
      <w:r>
        <w:rPr>
          <w:rFonts w:hint="eastAsia"/>
        </w:rPr>
        <w:t>受让方已被告知并完全理解，受让方在自转让方受让标的资产后，对标的资产根据主合同、担保合同等资产文件在基准日以后产生的利息、罚息、违约金等权利/权益，受让方可能无法继续享有或行使。</w:t>
      </w:r>
    </w:p>
    <w:p>
      <w:pPr>
        <w:snapToGrid w:val="0"/>
        <w:ind w:firstLine="640"/>
      </w:pPr>
      <w:r>
        <w:rPr>
          <w:rFonts w:hint="eastAsia"/>
        </w:rPr>
        <w:t>(5)</w:t>
      </w:r>
      <w:r>
        <w:rPr>
          <w:rFonts w:hint="eastAsia"/>
        </w:rPr>
        <w:tab/>
      </w:r>
      <w:r>
        <w:rPr>
          <w:rFonts w:hint="eastAsia"/>
        </w:rPr>
        <w:t>受让方已被告知并完全理解，受让方受让标的资产后，由于法律政策导向的不确定性，受让方可能无法享有转让方及/或前手对标的资产所享有的国家法律政策规定的各项优惠条件和特殊保护，包括但不限于税收和诉讼方面的优惠和特殊保护。</w:t>
      </w:r>
    </w:p>
    <w:p>
      <w:pPr>
        <w:snapToGrid w:val="0"/>
        <w:ind w:firstLine="640"/>
      </w:pPr>
      <w:r>
        <w:rPr>
          <w:rFonts w:hint="eastAsia"/>
        </w:rPr>
        <w:t>(6)</w:t>
      </w:r>
      <w:r>
        <w:rPr>
          <w:rFonts w:hint="eastAsia"/>
        </w:rPr>
        <w:tab/>
      </w:r>
      <w:r>
        <w:rPr>
          <w:rFonts w:hint="eastAsia"/>
        </w:rPr>
        <w:t>受让方已被告知并完全理解，受让方受让的标的资产可能存在着瑕疵，影响受让方预期利益的实现。受让方同意并确认，转让方对标的资产不承担法律上的合法性、有效性、准确性等瑕疵担保责任。受让方受让的标的资产可能存在的缺陷，包括但不限于下列一项或多项：</w:t>
      </w:r>
    </w:p>
    <w:p>
      <w:pPr>
        <w:snapToGrid w:val="0"/>
        <w:ind w:firstLine="640"/>
      </w:pPr>
      <w:r>
        <w:rPr>
          <w:rFonts w:hint="eastAsia"/>
        </w:rPr>
        <w:t>(a)</w:t>
      </w:r>
      <w:r>
        <w:rPr>
          <w:rFonts w:hint="eastAsia"/>
        </w:rPr>
        <w:tab/>
      </w:r>
      <w:r>
        <w:rPr>
          <w:rFonts w:hint="eastAsia"/>
        </w:rPr>
        <w:t>标的资产相关的义务人及/或其他相关第三方可能存在破产、被解散、被注销、被吊销、歇业、被关闭、下落不明以及其他主体存续性瑕疵的情形；</w:t>
      </w:r>
    </w:p>
    <w:p>
      <w:pPr>
        <w:snapToGrid w:val="0"/>
        <w:ind w:firstLine="640"/>
      </w:pPr>
      <w:r>
        <w:rPr>
          <w:rFonts w:hint="eastAsia"/>
        </w:rPr>
        <w:t>(b)</w:t>
      </w:r>
      <w:r>
        <w:rPr>
          <w:rFonts w:hint="eastAsia"/>
        </w:rPr>
        <w:tab/>
      </w:r>
      <w:r>
        <w:rPr>
          <w:rFonts w:hint="eastAsia"/>
        </w:rPr>
        <w:t>标的资产（含从权利及/或相关权益）可能存在已超过诉讼时效或丧失相关的法定期间（如除斥期间、法定上诉期限、申请执行期限等）或缺少诉讼时效中断、中止的任何证明或因其他原因已部分消灭或成为自然债；</w:t>
      </w:r>
    </w:p>
    <w:p>
      <w:pPr>
        <w:snapToGrid w:val="0"/>
        <w:ind w:firstLine="640"/>
      </w:pPr>
      <w:r>
        <w:rPr>
          <w:rFonts w:hint="eastAsia"/>
        </w:rPr>
        <w:t>(c)</w:t>
      </w:r>
      <w:r>
        <w:rPr>
          <w:rFonts w:hint="eastAsia"/>
        </w:rPr>
        <w:tab/>
      </w:r>
      <w:r>
        <w:rPr>
          <w:rFonts w:hint="eastAsia"/>
        </w:rPr>
        <w:t xml:space="preserve">标的资产附属的保证合同、抵押合同、质押合同等担保合同可能存在本身因违反法律规定而无效或被撤销，担保人没有过错或仅承担部分过错责任的情形； </w:t>
      </w:r>
    </w:p>
    <w:p>
      <w:pPr>
        <w:snapToGrid w:val="0"/>
        <w:ind w:firstLine="640"/>
      </w:pPr>
      <w:r>
        <w:rPr>
          <w:rFonts w:hint="eastAsia"/>
        </w:rPr>
        <w:t>(d)</w:t>
      </w:r>
      <w:r>
        <w:rPr>
          <w:rFonts w:hint="eastAsia"/>
        </w:rPr>
        <w:tab/>
      </w:r>
      <w:r>
        <w:rPr>
          <w:rFonts w:hint="eastAsia"/>
        </w:rPr>
        <w:t>标的资产附属的担保合同可能存在主债权不可转让或担保人只对特定债权人承担担保责任的情形；</w:t>
      </w:r>
    </w:p>
    <w:p>
      <w:pPr>
        <w:snapToGrid w:val="0"/>
        <w:ind w:firstLine="640"/>
      </w:pPr>
      <w:r>
        <w:rPr>
          <w:rFonts w:hint="eastAsia"/>
        </w:rPr>
        <w:t>(e)</w:t>
      </w:r>
      <w:r>
        <w:rPr>
          <w:rFonts w:hint="eastAsia"/>
        </w:rPr>
        <w:tab/>
      </w:r>
      <w:r>
        <w:rPr>
          <w:rFonts w:hint="eastAsia"/>
        </w:rPr>
        <w:t>标的资产的担保物可能不存在，或存在担保物已灭失且没有代位物或没有其他物上代位权可行使，或担保物已为第三人善意取得的情形；</w:t>
      </w:r>
    </w:p>
    <w:p>
      <w:pPr>
        <w:snapToGrid w:val="0"/>
        <w:ind w:firstLine="640"/>
      </w:pPr>
      <w:r>
        <w:rPr>
          <w:rFonts w:hint="eastAsia"/>
        </w:rPr>
        <w:t>(f)</w:t>
      </w:r>
      <w:r>
        <w:rPr>
          <w:rFonts w:hint="eastAsia"/>
        </w:rPr>
        <w:tab/>
      </w:r>
      <w:r>
        <w:rPr>
          <w:rFonts w:hint="eastAsia"/>
        </w:rPr>
        <w:t xml:space="preserve">标的资产可能存在相关的担保合同实际不成立、未生效、无效、可能被撤销，担保物权因应办理抵押、质押登记而未办理等原因未有效设立的情形； </w:t>
      </w:r>
    </w:p>
    <w:p>
      <w:pPr>
        <w:snapToGrid w:val="0"/>
        <w:ind w:firstLine="640"/>
      </w:pPr>
      <w:r>
        <w:rPr>
          <w:rFonts w:hint="eastAsia"/>
        </w:rPr>
        <w:t>(g)</w:t>
      </w:r>
      <w:r>
        <w:rPr>
          <w:rFonts w:hint="eastAsia"/>
        </w:rPr>
        <w:tab/>
      </w:r>
      <w:r>
        <w:rPr>
          <w:rFonts w:hint="eastAsia"/>
        </w:rPr>
        <w:t>标的资产及其附属的最高额担保，可能存在在最高额担保未确定或担保的债权确定前发生一次或数次转让，从而造成担保权甚至主债权落空的情形；</w:t>
      </w:r>
    </w:p>
    <w:p>
      <w:pPr>
        <w:snapToGrid w:val="0"/>
        <w:ind w:firstLine="640"/>
      </w:pPr>
      <w:r>
        <w:rPr>
          <w:rFonts w:hint="eastAsia"/>
        </w:rPr>
        <w:t>(h)</w:t>
      </w:r>
      <w:r>
        <w:rPr>
          <w:rFonts w:hint="eastAsia"/>
        </w:rPr>
        <w:tab/>
      </w:r>
      <w:r>
        <w:rPr>
          <w:rFonts w:hint="eastAsia"/>
        </w:rPr>
        <w:t>标的资产中主债权、从权利或相关权益可能存在未生效、无效或被撤销的情形；部分标的资产可能存在已被全部或部分减免、被抵销、被清偿的情形；</w:t>
      </w:r>
    </w:p>
    <w:p>
      <w:pPr>
        <w:snapToGrid w:val="0"/>
        <w:ind w:firstLine="640"/>
      </w:pPr>
      <w:r>
        <w:rPr>
          <w:rFonts w:hint="eastAsia"/>
        </w:rPr>
        <w:t>(i)</w:t>
      </w:r>
      <w:r>
        <w:rPr>
          <w:rFonts w:hint="eastAsia"/>
        </w:rPr>
        <w:tab/>
      </w:r>
      <w:r>
        <w:rPr>
          <w:rFonts w:hint="eastAsia"/>
        </w:rPr>
        <w:t>涉诉资产可能存在经法院或仲裁机构裁判未获得其支持而败诉或部分败诉、法院裁定终结执行等情形；</w:t>
      </w:r>
    </w:p>
    <w:p>
      <w:pPr>
        <w:snapToGrid w:val="0"/>
        <w:ind w:firstLine="640"/>
      </w:pPr>
      <w:r>
        <w:rPr>
          <w:rFonts w:hint="eastAsia"/>
        </w:rPr>
        <w:t>(j)</w:t>
      </w:r>
      <w:r>
        <w:rPr>
          <w:rFonts w:hint="eastAsia"/>
        </w:rPr>
        <w:tab/>
      </w:r>
      <w:r>
        <w:rPr>
          <w:rFonts w:hint="eastAsia"/>
        </w:rPr>
        <w:t xml:space="preserve">资产文件的复印件中部分文件可能存在缺乏相对应的原件，或者资产文件缺失或不完整的情形； </w:t>
      </w:r>
    </w:p>
    <w:p>
      <w:pPr>
        <w:snapToGrid w:val="0"/>
        <w:ind w:firstLine="640"/>
      </w:pPr>
      <w:r>
        <w:rPr>
          <w:rFonts w:hint="eastAsia"/>
        </w:rPr>
        <w:t>(k)</w:t>
      </w:r>
      <w:r>
        <w:rPr>
          <w:rFonts w:hint="eastAsia"/>
        </w:rPr>
        <w:tab/>
      </w:r>
      <w:r>
        <w:rPr>
          <w:rFonts w:hint="eastAsia"/>
        </w:rPr>
        <w:t>前手未就债权资产的转让通知义务人使得债权转让尚未对义务人发生法律效力；</w:t>
      </w:r>
    </w:p>
    <w:p>
      <w:pPr>
        <w:snapToGrid w:val="0"/>
        <w:ind w:firstLine="640" w:firstLineChars="200"/>
      </w:pPr>
      <w:r>
        <w:rPr>
          <w:rFonts w:hint="eastAsia"/>
        </w:rPr>
        <w:t>(l)</w:t>
      </w:r>
      <w:r>
        <w:rPr>
          <w:rFonts w:hint="eastAsia"/>
        </w:rPr>
        <w:tab/>
      </w:r>
      <w:r>
        <w:rPr>
          <w:rFonts w:hint="eastAsia"/>
        </w:rPr>
        <w:t>标的资产的其他瑕疵或风险。</w:t>
      </w:r>
    </w:p>
    <w:bookmarkEnd w:id="3"/>
    <w:p>
      <w:pPr>
        <w:ind w:firstLine="6080" w:firstLineChars="1900"/>
        <w:rPr>
          <w:szCs w:val="32"/>
        </w:rPr>
      </w:pPr>
    </w:p>
    <w:p>
      <w:pPr>
        <w:ind w:firstLine="640"/>
        <w:jc w:val="right"/>
        <w:rPr>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567" w:footer="567"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script"/>
    <w:pitch w:val="default"/>
    <w:sig w:usb0="00000001" w:usb1="080E0000" w:usb2="00000000" w:usb3="00000000" w:csb0="00040000" w:csb1="00000000"/>
  </w:font>
  <w:font w:name="方正黑体简体">
    <w:panose1 w:val="03000509000000000000"/>
    <w:charset w:val="86"/>
    <w:family w:val="script"/>
    <w:pitch w:val="default"/>
    <w:sig w:usb0="00000001" w:usb1="080E0000" w:usb2="00000000" w:usb3="00000000" w:csb0="00040000" w:csb1="00000000"/>
  </w:font>
  <w:font w:name="方正楷体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WenQuanYi Micro Hei">
    <w:altName w:val="Calibri"/>
    <w:panose1 w:val="00000000000000000000"/>
    <w:charset w:val="00"/>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20257966"/>
    </w:sdtPr>
    <w:sdtContent>
      <w:sdt>
        <w:sdtPr>
          <w:id w:val="-1669238322"/>
        </w:sdtPr>
        <w:sdtContent>
          <w:p>
            <w:pPr>
              <w:pStyle w:val="11"/>
              <w:jc w:val="center"/>
            </w:pPr>
            <w:r>
              <w:rPr>
                <w:rFonts w:hint="eastAsia" w:ascii="方正仿宋简体" w:eastAsia="方正仿宋简体"/>
                <w:lang w:val="zh-CN"/>
              </w:rPr>
              <w:t xml:space="preserve"> </w:t>
            </w:r>
            <w:r>
              <w:rPr>
                <w:rFonts w:hint="eastAsia" w:ascii="方正仿宋简体" w:eastAsia="方正仿宋简体"/>
                <w:b/>
                <w:bCs/>
                <w:sz w:val="24"/>
                <w:szCs w:val="24"/>
              </w:rPr>
              <w:fldChar w:fldCharType="begin"/>
            </w:r>
            <w:r>
              <w:rPr>
                <w:rFonts w:hint="eastAsia" w:ascii="方正仿宋简体" w:eastAsia="方正仿宋简体"/>
                <w:b/>
                <w:bCs/>
              </w:rPr>
              <w:instrText xml:space="preserve">PAGE</w:instrText>
            </w:r>
            <w:r>
              <w:rPr>
                <w:rFonts w:hint="eastAsia" w:ascii="方正仿宋简体" w:eastAsia="方正仿宋简体"/>
                <w:b/>
                <w:bCs/>
                <w:sz w:val="24"/>
                <w:szCs w:val="24"/>
              </w:rPr>
              <w:fldChar w:fldCharType="separate"/>
            </w:r>
            <w:r>
              <w:rPr>
                <w:rFonts w:ascii="方正仿宋简体" w:eastAsia="方正仿宋简体"/>
                <w:b/>
                <w:bCs/>
              </w:rPr>
              <w:t>1</w:t>
            </w:r>
            <w:r>
              <w:rPr>
                <w:rFonts w:hint="eastAsia" w:ascii="方正仿宋简体" w:eastAsia="方正仿宋简体"/>
                <w:b/>
                <w:bCs/>
                <w:sz w:val="24"/>
                <w:szCs w:val="24"/>
              </w:rPr>
              <w:fldChar w:fldCharType="end"/>
            </w:r>
            <w:r>
              <w:rPr>
                <w:rFonts w:hint="eastAsia" w:ascii="方正仿宋简体" w:eastAsia="方正仿宋简体"/>
                <w:lang w:val="zh-CN"/>
              </w:rPr>
              <w:t xml:space="preserve"> / </w:t>
            </w:r>
            <w:r>
              <w:rPr>
                <w:rFonts w:hint="eastAsia" w:ascii="方正仿宋简体" w:eastAsia="方正仿宋简体"/>
                <w:b/>
                <w:bCs/>
                <w:sz w:val="24"/>
                <w:szCs w:val="24"/>
              </w:rPr>
              <w:fldChar w:fldCharType="begin"/>
            </w:r>
            <w:r>
              <w:rPr>
                <w:rFonts w:hint="eastAsia" w:ascii="方正仿宋简体" w:eastAsia="方正仿宋简体"/>
                <w:b/>
                <w:bCs/>
              </w:rPr>
              <w:instrText xml:space="preserve">NUMPAGES</w:instrText>
            </w:r>
            <w:r>
              <w:rPr>
                <w:rFonts w:hint="eastAsia" w:ascii="方正仿宋简体" w:eastAsia="方正仿宋简体"/>
                <w:b/>
                <w:bCs/>
                <w:sz w:val="24"/>
                <w:szCs w:val="24"/>
              </w:rPr>
              <w:fldChar w:fldCharType="separate"/>
            </w:r>
            <w:r>
              <w:rPr>
                <w:rFonts w:ascii="方正仿宋简体" w:eastAsia="方正仿宋简体"/>
                <w:b/>
                <w:bCs/>
              </w:rPr>
              <w:t>14</w:t>
            </w:r>
            <w:r>
              <w:rPr>
                <w:rFonts w:hint="eastAsia" w:ascii="方正仿宋简体" w:eastAsia="方正仿宋简体"/>
                <w:b/>
                <w:bCs/>
                <w:sz w:val="24"/>
                <w:szCs w:val="24"/>
              </w:rPr>
              <w:fldChar w:fldCharType="end"/>
            </w:r>
          </w:p>
        </w:sdtContent>
      </w:sdt>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FE6D3C"/>
    <w:multiLevelType w:val="singleLevel"/>
    <w:tmpl w:val="6BFE6D3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160"/>
  <w:drawingGridVerticalSpacing w:val="435"/>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I2OGEwMTA2NjVjOTIyNjUxMTQ2ZTJmNTU5ZTkifQ=="/>
  </w:docVars>
  <w:rsids>
    <w:rsidRoot w:val="00053B5C"/>
    <w:rsid w:val="00013662"/>
    <w:rsid w:val="0001368D"/>
    <w:rsid w:val="000336D4"/>
    <w:rsid w:val="0003397E"/>
    <w:rsid w:val="00053B5C"/>
    <w:rsid w:val="000756A1"/>
    <w:rsid w:val="00090B92"/>
    <w:rsid w:val="000B68BC"/>
    <w:rsid w:val="000C5BC2"/>
    <w:rsid w:val="0010034A"/>
    <w:rsid w:val="00111756"/>
    <w:rsid w:val="00143595"/>
    <w:rsid w:val="00160E12"/>
    <w:rsid w:val="00161207"/>
    <w:rsid w:val="00184D47"/>
    <w:rsid w:val="001B3F48"/>
    <w:rsid w:val="0020120C"/>
    <w:rsid w:val="0023202E"/>
    <w:rsid w:val="00256239"/>
    <w:rsid w:val="00263596"/>
    <w:rsid w:val="0027550A"/>
    <w:rsid w:val="002871C6"/>
    <w:rsid w:val="00290CEE"/>
    <w:rsid w:val="002A3886"/>
    <w:rsid w:val="002B3778"/>
    <w:rsid w:val="002E6E51"/>
    <w:rsid w:val="002F1820"/>
    <w:rsid w:val="003160C2"/>
    <w:rsid w:val="00327D86"/>
    <w:rsid w:val="00345032"/>
    <w:rsid w:val="00360E24"/>
    <w:rsid w:val="0036212E"/>
    <w:rsid w:val="00383443"/>
    <w:rsid w:val="00386E50"/>
    <w:rsid w:val="00387065"/>
    <w:rsid w:val="003A389B"/>
    <w:rsid w:val="003C589C"/>
    <w:rsid w:val="003C7B37"/>
    <w:rsid w:val="003D09C5"/>
    <w:rsid w:val="003D5F83"/>
    <w:rsid w:val="003E36BA"/>
    <w:rsid w:val="003E575D"/>
    <w:rsid w:val="003E5996"/>
    <w:rsid w:val="003F036F"/>
    <w:rsid w:val="004046C4"/>
    <w:rsid w:val="004206C2"/>
    <w:rsid w:val="004247B3"/>
    <w:rsid w:val="004372DE"/>
    <w:rsid w:val="00450C92"/>
    <w:rsid w:val="00455DF8"/>
    <w:rsid w:val="00473031"/>
    <w:rsid w:val="00497E03"/>
    <w:rsid w:val="004A0E7B"/>
    <w:rsid w:val="004D2BF0"/>
    <w:rsid w:val="004D5F64"/>
    <w:rsid w:val="00500CB4"/>
    <w:rsid w:val="00512956"/>
    <w:rsid w:val="005148ED"/>
    <w:rsid w:val="00527801"/>
    <w:rsid w:val="005362C8"/>
    <w:rsid w:val="00552A90"/>
    <w:rsid w:val="00553004"/>
    <w:rsid w:val="005920DE"/>
    <w:rsid w:val="00594795"/>
    <w:rsid w:val="00596991"/>
    <w:rsid w:val="005D068E"/>
    <w:rsid w:val="005D4903"/>
    <w:rsid w:val="005D63A0"/>
    <w:rsid w:val="005F0A35"/>
    <w:rsid w:val="005F69ED"/>
    <w:rsid w:val="00603A02"/>
    <w:rsid w:val="00623C60"/>
    <w:rsid w:val="00630B8B"/>
    <w:rsid w:val="00636177"/>
    <w:rsid w:val="00636247"/>
    <w:rsid w:val="006419D6"/>
    <w:rsid w:val="006462FD"/>
    <w:rsid w:val="006473A6"/>
    <w:rsid w:val="0065174B"/>
    <w:rsid w:val="006517B3"/>
    <w:rsid w:val="00651EF0"/>
    <w:rsid w:val="00660247"/>
    <w:rsid w:val="006644F9"/>
    <w:rsid w:val="00667DF6"/>
    <w:rsid w:val="006747F4"/>
    <w:rsid w:val="00677E88"/>
    <w:rsid w:val="00684729"/>
    <w:rsid w:val="00686041"/>
    <w:rsid w:val="006940D0"/>
    <w:rsid w:val="006A6B14"/>
    <w:rsid w:val="006C6B81"/>
    <w:rsid w:val="006D005A"/>
    <w:rsid w:val="00700D2F"/>
    <w:rsid w:val="00703D09"/>
    <w:rsid w:val="007118EB"/>
    <w:rsid w:val="00711E3E"/>
    <w:rsid w:val="00713DF0"/>
    <w:rsid w:val="007245BF"/>
    <w:rsid w:val="007423F5"/>
    <w:rsid w:val="0075574F"/>
    <w:rsid w:val="00776255"/>
    <w:rsid w:val="00785C4B"/>
    <w:rsid w:val="00786E68"/>
    <w:rsid w:val="00790E57"/>
    <w:rsid w:val="00796C77"/>
    <w:rsid w:val="007A0F81"/>
    <w:rsid w:val="007B0E27"/>
    <w:rsid w:val="007B4485"/>
    <w:rsid w:val="007C1403"/>
    <w:rsid w:val="007D20EF"/>
    <w:rsid w:val="007D643A"/>
    <w:rsid w:val="007E2554"/>
    <w:rsid w:val="007E55F6"/>
    <w:rsid w:val="00844D8F"/>
    <w:rsid w:val="008560F6"/>
    <w:rsid w:val="00863B59"/>
    <w:rsid w:val="008743F4"/>
    <w:rsid w:val="008766D2"/>
    <w:rsid w:val="008A5B89"/>
    <w:rsid w:val="008B5BBD"/>
    <w:rsid w:val="008C465C"/>
    <w:rsid w:val="008F678C"/>
    <w:rsid w:val="008F6D7C"/>
    <w:rsid w:val="00906855"/>
    <w:rsid w:val="009125A4"/>
    <w:rsid w:val="0092482E"/>
    <w:rsid w:val="00927EB7"/>
    <w:rsid w:val="0094768E"/>
    <w:rsid w:val="00967781"/>
    <w:rsid w:val="009915D3"/>
    <w:rsid w:val="009937F2"/>
    <w:rsid w:val="009A7303"/>
    <w:rsid w:val="009D453B"/>
    <w:rsid w:val="00A120B0"/>
    <w:rsid w:val="00A2285F"/>
    <w:rsid w:val="00A23B3E"/>
    <w:rsid w:val="00A33EC8"/>
    <w:rsid w:val="00A36277"/>
    <w:rsid w:val="00A46824"/>
    <w:rsid w:val="00A552D2"/>
    <w:rsid w:val="00A56DE2"/>
    <w:rsid w:val="00A66D2F"/>
    <w:rsid w:val="00A76C92"/>
    <w:rsid w:val="00A830E2"/>
    <w:rsid w:val="00AF130F"/>
    <w:rsid w:val="00AF6FBE"/>
    <w:rsid w:val="00AF7B88"/>
    <w:rsid w:val="00B01CF9"/>
    <w:rsid w:val="00B55E01"/>
    <w:rsid w:val="00B745FA"/>
    <w:rsid w:val="00B75A2D"/>
    <w:rsid w:val="00BA30B6"/>
    <w:rsid w:val="00BB59B4"/>
    <w:rsid w:val="00BD2881"/>
    <w:rsid w:val="00BD55CB"/>
    <w:rsid w:val="00BD6B9B"/>
    <w:rsid w:val="00C26D44"/>
    <w:rsid w:val="00C3066E"/>
    <w:rsid w:val="00C366CC"/>
    <w:rsid w:val="00C63F59"/>
    <w:rsid w:val="00C7781D"/>
    <w:rsid w:val="00C96AA6"/>
    <w:rsid w:val="00CA2237"/>
    <w:rsid w:val="00CA7135"/>
    <w:rsid w:val="00CB0C69"/>
    <w:rsid w:val="00CF16F6"/>
    <w:rsid w:val="00CF79F8"/>
    <w:rsid w:val="00D042C7"/>
    <w:rsid w:val="00D112EA"/>
    <w:rsid w:val="00D20B95"/>
    <w:rsid w:val="00D26709"/>
    <w:rsid w:val="00D31119"/>
    <w:rsid w:val="00D329CC"/>
    <w:rsid w:val="00D32ECD"/>
    <w:rsid w:val="00D5476A"/>
    <w:rsid w:val="00D56700"/>
    <w:rsid w:val="00D81DCC"/>
    <w:rsid w:val="00D90977"/>
    <w:rsid w:val="00DA4D77"/>
    <w:rsid w:val="00DC23A1"/>
    <w:rsid w:val="00DC4018"/>
    <w:rsid w:val="00DE7A0B"/>
    <w:rsid w:val="00DF0B50"/>
    <w:rsid w:val="00DF3B07"/>
    <w:rsid w:val="00DF3F73"/>
    <w:rsid w:val="00E02F83"/>
    <w:rsid w:val="00E15924"/>
    <w:rsid w:val="00E40E0C"/>
    <w:rsid w:val="00E54994"/>
    <w:rsid w:val="00E75B61"/>
    <w:rsid w:val="00E83669"/>
    <w:rsid w:val="00EA15FC"/>
    <w:rsid w:val="00EA3D32"/>
    <w:rsid w:val="00EB0DA9"/>
    <w:rsid w:val="00EB0DFA"/>
    <w:rsid w:val="00EC047F"/>
    <w:rsid w:val="00EE0DB6"/>
    <w:rsid w:val="00EF7A34"/>
    <w:rsid w:val="00F4339E"/>
    <w:rsid w:val="00F4371B"/>
    <w:rsid w:val="00F55679"/>
    <w:rsid w:val="00F6269E"/>
    <w:rsid w:val="00F67189"/>
    <w:rsid w:val="00F72B48"/>
    <w:rsid w:val="00F73160"/>
    <w:rsid w:val="00F73B2C"/>
    <w:rsid w:val="00F827C5"/>
    <w:rsid w:val="00F82D5A"/>
    <w:rsid w:val="00F9285C"/>
    <w:rsid w:val="00FA01ED"/>
    <w:rsid w:val="00FA49B0"/>
    <w:rsid w:val="00FA64C0"/>
    <w:rsid w:val="00FA6FEA"/>
    <w:rsid w:val="00FB7E25"/>
    <w:rsid w:val="00FC7CE9"/>
    <w:rsid w:val="00FF422B"/>
    <w:rsid w:val="0105437F"/>
    <w:rsid w:val="010676CA"/>
    <w:rsid w:val="01133B65"/>
    <w:rsid w:val="012A6BDB"/>
    <w:rsid w:val="01337608"/>
    <w:rsid w:val="0137695E"/>
    <w:rsid w:val="0146712E"/>
    <w:rsid w:val="0147378D"/>
    <w:rsid w:val="0150776A"/>
    <w:rsid w:val="015E1E57"/>
    <w:rsid w:val="016C2226"/>
    <w:rsid w:val="016F0A91"/>
    <w:rsid w:val="01841BFA"/>
    <w:rsid w:val="01A25E20"/>
    <w:rsid w:val="01A42AC3"/>
    <w:rsid w:val="01B70B0C"/>
    <w:rsid w:val="01CD2954"/>
    <w:rsid w:val="01E43C8D"/>
    <w:rsid w:val="01F0395F"/>
    <w:rsid w:val="01F55B7F"/>
    <w:rsid w:val="02004CF6"/>
    <w:rsid w:val="021A3976"/>
    <w:rsid w:val="021E07A4"/>
    <w:rsid w:val="02237D8D"/>
    <w:rsid w:val="0226198C"/>
    <w:rsid w:val="022A3158"/>
    <w:rsid w:val="022B2A45"/>
    <w:rsid w:val="0237092D"/>
    <w:rsid w:val="024E55CE"/>
    <w:rsid w:val="0273492E"/>
    <w:rsid w:val="02736B09"/>
    <w:rsid w:val="02AC15C6"/>
    <w:rsid w:val="02C3232C"/>
    <w:rsid w:val="02DB6F44"/>
    <w:rsid w:val="02EE130F"/>
    <w:rsid w:val="02F27417"/>
    <w:rsid w:val="02F810C3"/>
    <w:rsid w:val="02FF58B3"/>
    <w:rsid w:val="03175BD8"/>
    <w:rsid w:val="032258E6"/>
    <w:rsid w:val="032425B6"/>
    <w:rsid w:val="032C412E"/>
    <w:rsid w:val="03345DA9"/>
    <w:rsid w:val="0338199A"/>
    <w:rsid w:val="033D0B20"/>
    <w:rsid w:val="034026E5"/>
    <w:rsid w:val="03403FD0"/>
    <w:rsid w:val="0341334C"/>
    <w:rsid w:val="034133B2"/>
    <w:rsid w:val="03442BED"/>
    <w:rsid w:val="034C665B"/>
    <w:rsid w:val="03627B41"/>
    <w:rsid w:val="03AB0434"/>
    <w:rsid w:val="03BB1051"/>
    <w:rsid w:val="03CA6FDA"/>
    <w:rsid w:val="03E41DA9"/>
    <w:rsid w:val="040F3E66"/>
    <w:rsid w:val="0411124B"/>
    <w:rsid w:val="041544FA"/>
    <w:rsid w:val="0419347C"/>
    <w:rsid w:val="042143D3"/>
    <w:rsid w:val="04331165"/>
    <w:rsid w:val="044D43D7"/>
    <w:rsid w:val="044E6E03"/>
    <w:rsid w:val="0461014B"/>
    <w:rsid w:val="04770389"/>
    <w:rsid w:val="04830426"/>
    <w:rsid w:val="04835713"/>
    <w:rsid w:val="048400A2"/>
    <w:rsid w:val="048A54A3"/>
    <w:rsid w:val="048F480F"/>
    <w:rsid w:val="0492523D"/>
    <w:rsid w:val="049B78E1"/>
    <w:rsid w:val="04A153EA"/>
    <w:rsid w:val="04A327F4"/>
    <w:rsid w:val="04A401B0"/>
    <w:rsid w:val="04B554A3"/>
    <w:rsid w:val="04D62990"/>
    <w:rsid w:val="04D8028A"/>
    <w:rsid w:val="050F0796"/>
    <w:rsid w:val="05223346"/>
    <w:rsid w:val="05394FD1"/>
    <w:rsid w:val="053C0C8A"/>
    <w:rsid w:val="053C1471"/>
    <w:rsid w:val="053F3295"/>
    <w:rsid w:val="0561300B"/>
    <w:rsid w:val="05681DE8"/>
    <w:rsid w:val="05723FDA"/>
    <w:rsid w:val="057D11D2"/>
    <w:rsid w:val="058D411F"/>
    <w:rsid w:val="05985AC6"/>
    <w:rsid w:val="05A8513B"/>
    <w:rsid w:val="05AE0A42"/>
    <w:rsid w:val="05B42DF7"/>
    <w:rsid w:val="05B631AB"/>
    <w:rsid w:val="05B860F6"/>
    <w:rsid w:val="05B9563D"/>
    <w:rsid w:val="05C164CA"/>
    <w:rsid w:val="05EB29C1"/>
    <w:rsid w:val="05EC030B"/>
    <w:rsid w:val="05EC35C0"/>
    <w:rsid w:val="05ED79B2"/>
    <w:rsid w:val="060A30F4"/>
    <w:rsid w:val="06132C62"/>
    <w:rsid w:val="06154A94"/>
    <w:rsid w:val="06185978"/>
    <w:rsid w:val="062130B0"/>
    <w:rsid w:val="062C0984"/>
    <w:rsid w:val="0648554E"/>
    <w:rsid w:val="064E3473"/>
    <w:rsid w:val="065753DC"/>
    <w:rsid w:val="065B1A16"/>
    <w:rsid w:val="065B467D"/>
    <w:rsid w:val="066657C6"/>
    <w:rsid w:val="068E38AE"/>
    <w:rsid w:val="068E7B8A"/>
    <w:rsid w:val="06937766"/>
    <w:rsid w:val="069E52F7"/>
    <w:rsid w:val="06A23206"/>
    <w:rsid w:val="06AC463F"/>
    <w:rsid w:val="06B7759B"/>
    <w:rsid w:val="06C35EF0"/>
    <w:rsid w:val="06CB4CDE"/>
    <w:rsid w:val="06DA4A24"/>
    <w:rsid w:val="06DF5612"/>
    <w:rsid w:val="06DF7310"/>
    <w:rsid w:val="06F270BC"/>
    <w:rsid w:val="06F62A86"/>
    <w:rsid w:val="070E2AFA"/>
    <w:rsid w:val="070F31B6"/>
    <w:rsid w:val="07312FA9"/>
    <w:rsid w:val="07371384"/>
    <w:rsid w:val="073B34A0"/>
    <w:rsid w:val="074B2DCD"/>
    <w:rsid w:val="075132DB"/>
    <w:rsid w:val="07621923"/>
    <w:rsid w:val="077822BD"/>
    <w:rsid w:val="07A03C0A"/>
    <w:rsid w:val="07AE33FB"/>
    <w:rsid w:val="07E11895"/>
    <w:rsid w:val="07E41229"/>
    <w:rsid w:val="07F21B27"/>
    <w:rsid w:val="08025FA4"/>
    <w:rsid w:val="08110EB1"/>
    <w:rsid w:val="08173A2B"/>
    <w:rsid w:val="08242167"/>
    <w:rsid w:val="08556988"/>
    <w:rsid w:val="08590B52"/>
    <w:rsid w:val="085B1801"/>
    <w:rsid w:val="085B1C1A"/>
    <w:rsid w:val="085D7C05"/>
    <w:rsid w:val="08617BB0"/>
    <w:rsid w:val="086A5F36"/>
    <w:rsid w:val="08752D18"/>
    <w:rsid w:val="0878022B"/>
    <w:rsid w:val="08843074"/>
    <w:rsid w:val="08856D4C"/>
    <w:rsid w:val="089018DF"/>
    <w:rsid w:val="08A4280A"/>
    <w:rsid w:val="08AE0834"/>
    <w:rsid w:val="08B5531C"/>
    <w:rsid w:val="08B86ED3"/>
    <w:rsid w:val="08BB7334"/>
    <w:rsid w:val="08BD1EAE"/>
    <w:rsid w:val="08C95542"/>
    <w:rsid w:val="08D0591E"/>
    <w:rsid w:val="08D7672B"/>
    <w:rsid w:val="08DC56C9"/>
    <w:rsid w:val="08E57E82"/>
    <w:rsid w:val="08E92ED7"/>
    <w:rsid w:val="08F35226"/>
    <w:rsid w:val="09003EAF"/>
    <w:rsid w:val="091C32AD"/>
    <w:rsid w:val="09243C19"/>
    <w:rsid w:val="092705F1"/>
    <w:rsid w:val="09312C43"/>
    <w:rsid w:val="09371892"/>
    <w:rsid w:val="09375478"/>
    <w:rsid w:val="093E546D"/>
    <w:rsid w:val="094144EC"/>
    <w:rsid w:val="094316BE"/>
    <w:rsid w:val="09486BD9"/>
    <w:rsid w:val="095341AF"/>
    <w:rsid w:val="09860DB9"/>
    <w:rsid w:val="098A5960"/>
    <w:rsid w:val="09944A35"/>
    <w:rsid w:val="09A45145"/>
    <w:rsid w:val="09AC082C"/>
    <w:rsid w:val="09F27942"/>
    <w:rsid w:val="09F815E5"/>
    <w:rsid w:val="0A0111DD"/>
    <w:rsid w:val="0A0B7410"/>
    <w:rsid w:val="0A0E6F78"/>
    <w:rsid w:val="0A11692E"/>
    <w:rsid w:val="0A183835"/>
    <w:rsid w:val="0A1C3F77"/>
    <w:rsid w:val="0A2B5A9D"/>
    <w:rsid w:val="0A3F095D"/>
    <w:rsid w:val="0A446390"/>
    <w:rsid w:val="0A4725AB"/>
    <w:rsid w:val="0A4D6DB3"/>
    <w:rsid w:val="0A5C09F2"/>
    <w:rsid w:val="0A6A3393"/>
    <w:rsid w:val="0A6D6D30"/>
    <w:rsid w:val="0A85057C"/>
    <w:rsid w:val="0A891CCB"/>
    <w:rsid w:val="0AAF2421"/>
    <w:rsid w:val="0AB9033A"/>
    <w:rsid w:val="0AC54E62"/>
    <w:rsid w:val="0AC73D59"/>
    <w:rsid w:val="0AC8107D"/>
    <w:rsid w:val="0AE1692F"/>
    <w:rsid w:val="0AE50954"/>
    <w:rsid w:val="0B000A81"/>
    <w:rsid w:val="0B045E8A"/>
    <w:rsid w:val="0B0F68F1"/>
    <w:rsid w:val="0B1116FD"/>
    <w:rsid w:val="0B111B59"/>
    <w:rsid w:val="0B1F146D"/>
    <w:rsid w:val="0B6525F3"/>
    <w:rsid w:val="0B752A11"/>
    <w:rsid w:val="0B7A2F7B"/>
    <w:rsid w:val="0B813FDC"/>
    <w:rsid w:val="0B85485B"/>
    <w:rsid w:val="0B89790D"/>
    <w:rsid w:val="0B947E86"/>
    <w:rsid w:val="0BA83A30"/>
    <w:rsid w:val="0BBA5A4E"/>
    <w:rsid w:val="0BCA34D3"/>
    <w:rsid w:val="0BDF0521"/>
    <w:rsid w:val="0BE54FC7"/>
    <w:rsid w:val="0BEE3EBD"/>
    <w:rsid w:val="0BF16942"/>
    <w:rsid w:val="0C0B13B7"/>
    <w:rsid w:val="0C194253"/>
    <w:rsid w:val="0C1D49EF"/>
    <w:rsid w:val="0C226C1B"/>
    <w:rsid w:val="0C24509F"/>
    <w:rsid w:val="0C252D6E"/>
    <w:rsid w:val="0C273591"/>
    <w:rsid w:val="0C456946"/>
    <w:rsid w:val="0C520B26"/>
    <w:rsid w:val="0C5345B1"/>
    <w:rsid w:val="0C5A4DAE"/>
    <w:rsid w:val="0C5D45FF"/>
    <w:rsid w:val="0C66792E"/>
    <w:rsid w:val="0C7A3F3C"/>
    <w:rsid w:val="0C981C4D"/>
    <w:rsid w:val="0CA21ED0"/>
    <w:rsid w:val="0CA33D53"/>
    <w:rsid w:val="0CA33DAB"/>
    <w:rsid w:val="0CB7190D"/>
    <w:rsid w:val="0CBF1876"/>
    <w:rsid w:val="0D013847"/>
    <w:rsid w:val="0D0A1640"/>
    <w:rsid w:val="0D0F3720"/>
    <w:rsid w:val="0D1B4494"/>
    <w:rsid w:val="0D1C11DC"/>
    <w:rsid w:val="0D1C38AA"/>
    <w:rsid w:val="0D3759D4"/>
    <w:rsid w:val="0D395D56"/>
    <w:rsid w:val="0D515A68"/>
    <w:rsid w:val="0D5D6093"/>
    <w:rsid w:val="0D8033A9"/>
    <w:rsid w:val="0D850646"/>
    <w:rsid w:val="0D8A787F"/>
    <w:rsid w:val="0D8B2AC0"/>
    <w:rsid w:val="0D95410A"/>
    <w:rsid w:val="0D9D01E3"/>
    <w:rsid w:val="0DB5012E"/>
    <w:rsid w:val="0DBA6B09"/>
    <w:rsid w:val="0DBE0D19"/>
    <w:rsid w:val="0DC21F49"/>
    <w:rsid w:val="0DC5237F"/>
    <w:rsid w:val="0DCA3D24"/>
    <w:rsid w:val="0DD969AD"/>
    <w:rsid w:val="0DE81462"/>
    <w:rsid w:val="0DEC5E9F"/>
    <w:rsid w:val="0DF11996"/>
    <w:rsid w:val="0DFB6C79"/>
    <w:rsid w:val="0E0D17F1"/>
    <w:rsid w:val="0E0F548A"/>
    <w:rsid w:val="0E3516BB"/>
    <w:rsid w:val="0E3B7EEB"/>
    <w:rsid w:val="0E694423"/>
    <w:rsid w:val="0E712CAA"/>
    <w:rsid w:val="0E8F04D5"/>
    <w:rsid w:val="0E921DE2"/>
    <w:rsid w:val="0EB6717C"/>
    <w:rsid w:val="0EC53BF8"/>
    <w:rsid w:val="0EC70458"/>
    <w:rsid w:val="0EE4582E"/>
    <w:rsid w:val="0EE6526F"/>
    <w:rsid w:val="0EF115A9"/>
    <w:rsid w:val="0EF17DC5"/>
    <w:rsid w:val="0EF22732"/>
    <w:rsid w:val="0EF40828"/>
    <w:rsid w:val="0F1A2BAA"/>
    <w:rsid w:val="0F26286D"/>
    <w:rsid w:val="0F313790"/>
    <w:rsid w:val="0F5760A4"/>
    <w:rsid w:val="0F7E657B"/>
    <w:rsid w:val="0F8219D4"/>
    <w:rsid w:val="0F9B6D57"/>
    <w:rsid w:val="0FB5199A"/>
    <w:rsid w:val="0FC6591E"/>
    <w:rsid w:val="0FCE5EE4"/>
    <w:rsid w:val="0FDF38E3"/>
    <w:rsid w:val="0FE21A40"/>
    <w:rsid w:val="0FF80715"/>
    <w:rsid w:val="10067764"/>
    <w:rsid w:val="100E6887"/>
    <w:rsid w:val="100F041C"/>
    <w:rsid w:val="101C3DF6"/>
    <w:rsid w:val="10215AAC"/>
    <w:rsid w:val="10250DE9"/>
    <w:rsid w:val="102C0EC2"/>
    <w:rsid w:val="103F4CD2"/>
    <w:rsid w:val="103F5288"/>
    <w:rsid w:val="10460396"/>
    <w:rsid w:val="104C020A"/>
    <w:rsid w:val="10612C22"/>
    <w:rsid w:val="106A7C00"/>
    <w:rsid w:val="106F0216"/>
    <w:rsid w:val="107F73B4"/>
    <w:rsid w:val="10844DA4"/>
    <w:rsid w:val="10847710"/>
    <w:rsid w:val="10915C44"/>
    <w:rsid w:val="10A43F55"/>
    <w:rsid w:val="10A442A4"/>
    <w:rsid w:val="10C715D0"/>
    <w:rsid w:val="10EC113E"/>
    <w:rsid w:val="10F52FBA"/>
    <w:rsid w:val="10FF6098"/>
    <w:rsid w:val="11083855"/>
    <w:rsid w:val="11173EC9"/>
    <w:rsid w:val="112311FD"/>
    <w:rsid w:val="11233D9E"/>
    <w:rsid w:val="112841B4"/>
    <w:rsid w:val="11342827"/>
    <w:rsid w:val="11450F08"/>
    <w:rsid w:val="11471355"/>
    <w:rsid w:val="11475A18"/>
    <w:rsid w:val="11590860"/>
    <w:rsid w:val="11592041"/>
    <w:rsid w:val="11646F43"/>
    <w:rsid w:val="11772F7F"/>
    <w:rsid w:val="11820C62"/>
    <w:rsid w:val="1182127F"/>
    <w:rsid w:val="118A338C"/>
    <w:rsid w:val="118D57C0"/>
    <w:rsid w:val="119E2612"/>
    <w:rsid w:val="11A2456B"/>
    <w:rsid w:val="11D636E4"/>
    <w:rsid w:val="11D64F5C"/>
    <w:rsid w:val="11E54538"/>
    <w:rsid w:val="11E86B30"/>
    <w:rsid w:val="11EC0AC4"/>
    <w:rsid w:val="11F91F30"/>
    <w:rsid w:val="12095F9C"/>
    <w:rsid w:val="122552C0"/>
    <w:rsid w:val="122615DA"/>
    <w:rsid w:val="12292423"/>
    <w:rsid w:val="12397F37"/>
    <w:rsid w:val="123B1835"/>
    <w:rsid w:val="12454DBB"/>
    <w:rsid w:val="12542D6B"/>
    <w:rsid w:val="126312F2"/>
    <w:rsid w:val="1295316C"/>
    <w:rsid w:val="1296417B"/>
    <w:rsid w:val="12AE6B02"/>
    <w:rsid w:val="12B9474F"/>
    <w:rsid w:val="12B95E19"/>
    <w:rsid w:val="12C6121F"/>
    <w:rsid w:val="13105E1F"/>
    <w:rsid w:val="13152BB2"/>
    <w:rsid w:val="1316081A"/>
    <w:rsid w:val="1326431B"/>
    <w:rsid w:val="13274F64"/>
    <w:rsid w:val="132B60A0"/>
    <w:rsid w:val="132F388A"/>
    <w:rsid w:val="13384BC5"/>
    <w:rsid w:val="1343731A"/>
    <w:rsid w:val="13477BFD"/>
    <w:rsid w:val="13494C15"/>
    <w:rsid w:val="1367088E"/>
    <w:rsid w:val="137E77F0"/>
    <w:rsid w:val="13823A5E"/>
    <w:rsid w:val="139F2458"/>
    <w:rsid w:val="13C70059"/>
    <w:rsid w:val="13E86A70"/>
    <w:rsid w:val="13EB3FA7"/>
    <w:rsid w:val="13EE1CEA"/>
    <w:rsid w:val="14184B83"/>
    <w:rsid w:val="142F293C"/>
    <w:rsid w:val="14333314"/>
    <w:rsid w:val="143478D3"/>
    <w:rsid w:val="14366788"/>
    <w:rsid w:val="144F74C6"/>
    <w:rsid w:val="1452522E"/>
    <w:rsid w:val="145743EA"/>
    <w:rsid w:val="145D60BA"/>
    <w:rsid w:val="146159D8"/>
    <w:rsid w:val="1463585D"/>
    <w:rsid w:val="146B4912"/>
    <w:rsid w:val="146F2E2A"/>
    <w:rsid w:val="147112C1"/>
    <w:rsid w:val="14942616"/>
    <w:rsid w:val="149B2DDB"/>
    <w:rsid w:val="149C10B7"/>
    <w:rsid w:val="14A47A45"/>
    <w:rsid w:val="14A5673F"/>
    <w:rsid w:val="14AE50B5"/>
    <w:rsid w:val="14C65B6B"/>
    <w:rsid w:val="14D70295"/>
    <w:rsid w:val="14D87E56"/>
    <w:rsid w:val="14DC5904"/>
    <w:rsid w:val="14E05F42"/>
    <w:rsid w:val="14EE4063"/>
    <w:rsid w:val="14FE2984"/>
    <w:rsid w:val="1504566D"/>
    <w:rsid w:val="153A4B02"/>
    <w:rsid w:val="1540650A"/>
    <w:rsid w:val="154843FA"/>
    <w:rsid w:val="15552CE0"/>
    <w:rsid w:val="1557036D"/>
    <w:rsid w:val="15586BF9"/>
    <w:rsid w:val="156E1E64"/>
    <w:rsid w:val="15704BF0"/>
    <w:rsid w:val="15717D6B"/>
    <w:rsid w:val="15732E17"/>
    <w:rsid w:val="158C22A7"/>
    <w:rsid w:val="15AF7FDA"/>
    <w:rsid w:val="15B92957"/>
    <w:rsid w:val="15BA7759"/>
    <w:rsid w:val="15BF393E"/>
    <w:rsid w:val="15E661C8"/>
    <w:rsid w:val="15ED5B9D"/>
    <w:rsid w:val="15F86E57"/>
    <w:rsid w:val="160B355D"/>
    <w:rsid w:val="161F53B9"/>
    <w:rsid w:val="16243E45"/>
    <w:rsid w:val="164919AA"/>
    <w:rsid w:val="1658690E"/>
    <w:rsid w:val="165F1BA9"/>
    <w:rsid w:val="16707531"/>
    <w:rsid w:val="167555A7"/>
    <w:rsid w:val="167F51EE"/>
    <w:rsid w:val="16867E2E"/>
    <w:rsid w:val="168B67BF"/>
    <w:rsid w:val="169717D4"/>
    <w:rsid w:val="16A9737A"/>
    <w:rsid w:val="16B915F7"/>
    <w:rsid w:val="16C2369F"/>
    <w:rsid w:val="16D00607"/>
    <w:rsid w:val="16D816B0"/>
    <w:rsid w:val="16E11E4D"/>
    <w:rsid w:val="16E36EF3"/>
    <w:rsid w:val="16E81C2D"/>
    <w:rsid w:val="17076850"/>
    <w:rsid w:val="170E6A91"/>
    <w:rsid w:val="171742CE"/>
    <w:rsid w:val="17215C2F"/>
    <w:rsid w:val="172D5AE2"/>
    <w:rsid w:val="17391540"/>
    <w:rsid w:val="1745333A"/>
    <w:rsid w:val="17456C97"/>
    <w:rsid w:val="174624FE"/>
    <w:rsid w:val="174B1368"/>
    <w:rsid w:val="178312D8"/>
    <w:rsid w:val="17B71666"/>
    <w:rsid w:val="17DE1007"/>
    <w:rsid w:val="17EC4792"/>
    <w:rsid w:val="17F465EC"/>
    <w:rsid w:val="17F76369"/>
    <w:rsid w:val="17F816AB"/>
    <w:rsid w:val="17F901F6"/>
    <w:rsid w:val="17FD3F0D"/>
    <w:rsid w:val="18057FAD"/>
    <w:rsid w:val="18065F1F"/>
    <w:rsid w:val="180666BF"/>
    <w:rsid w:val="1814634C"/>
    <w:rsid w:val="18176D37"/>
    <w:rsid w:val="181B0477"/>
    <w:rsid w:val="18221F62"/>
    <w:rsid w:val="182D50D0"/>
    <w:rsid w:val="183B4637"/>
    <w:rsid w:val="18547397"/>
    <w:rsid w:val="188307D6"/>
    <w:rsid w:val="1893171F"/>
    <w:rsid w:val="189B72AE"/>
    <w:rsid w:val="189C59A2"/>
    <w:rsid w:val="189E1A78"/>
    <w:rsid w:val="18A15B9D"/>
    <w:rsid w:val="18D00251"/>
    <w:rsid w:val="18D97F4F"/>
    <w:rsid w:val="18DB4F44"/>
    <w:rsid w:val="18F62D3D"/>
    <w:rsid w:val="18F7188D"/>
    <w:rsid w:val="1900619E"/>
    <w:rsid w:val="190D15DC"/>
    <w:rsid w:val="19232E2E"/>
    <w:rsid w:val="192541F5"/>
    <w:rsid w:val="19275BB7"/>
    <w:rsid w:val="1950366F"/>
    <w:rsid w:val="195353E4"/>
    <w:rsid w:val="19632661"/>
    <w:rsid w:val="19652F0A"/>
    <w:rsid w:val="196D3795"/>
    <w:rsid w:val="19772EB0"/>
    <w:rsid w:val="19833C0A"/>
    <w:rsid w:val="198D0A37"/>
    <w:rsid w:val="19B72902"/>
    <w:rsid w:val="19B775CB"/>
    <w:rsid w:val="19DF2B35"/>
    <w:rsid w:val="19E42749"/>
    <w:rsid w:val="19E754EB"/>
    <w:rsid w:val="19F429BB"/>
    <w:rsid w:val="19FC316A"/>
    <w:rsid w:val="1A07140F"/>
    <w:rsid w:val="1A0F41CA"/>
    <w:rsid w:val="1A19263D"/>
    <w:rsid w:val="1A1C3965"/>
    <w:rsid w:val="1A1C5E5E"/>
    <w:rsid w:val="1A1E7107"/>
    <w:rsid w:val="1A204951"/>
    <w:rsid w:val="1A2E2894"/>
    <w:rsid w:val="1A3154FA"/>
    <w:rsid w:val="1A42242F"/>
    <w:rsid w:val="1A442DF6"/>
    <w:rsid w:val="1A4948B5"/>
    <w:rsid w:val="1A4D735D"/>
    <w:rsid w:val="1A4E5654"/>
    <w:rsid w:val="1A4F2C89"/>
    <w:rsid w:val="1A50725A"/>
    <w:rsid w:val="1A5F0EA6"/>
    <w:rsid w:val="1A6422BA"/>
    <w:rsid w:val="1A6538DC"/>
    <w:rsid w:val="1A94302F"/>
    <w:rsid w:val="1AA74421"/>
    <w:rsid w:val="1ADB5135"/>
    <w:rsid w:val="1AE51653"/>
    <w:rsid w:val="1AFE451A"/>
    <w:rsid w:val="1B0175B3"/>
    <w:rsid w:val="1B0679A1"/>
    <w:rsid w:val="1B070BEE"/>
    <w:rsid w:val="1B0B07AB"/>
    <w:rsid w:val="1B0B6198"/>
    <w:rsid w:val="1B1041CD"/>
    <w:rsid w:val="1B254A6C"/>
    <w:rsid w:val="1B28661C"/>
    <w:rsid w:val="1B28686A"/>
    <w:rsid w:val="1B425A90"/>
    <w:rsid w:val="1B67616A"/>
    <w:rsid w:val="1B744C10"/>
    <w:rsid w:val="1B767810"/>
    <w:rsid w:val="1B85318D"/>
    <w:rsid w:val="1B8D7988"/>
    <w:rsid w:val="1B8F4F37"/>
    <w:rsid w:val="1B9528FB"/>
    <w:rsid w:val="1B9C2951"/>
    <w:rsid w:val="1B9D3228"/>
    <w:rsid w:val="1BBA270E"/>
    <w:rsid w:val="1BBC2A4B"/>
    <w:rsid w:val="1BBF4668"/>
    <w:rsid w:val="1BE006FB"/>
    <w:rsid w:val="1BF36954"/>
    <w:rsid w:val="1BF40E77"/>
    <w:rsid w:val="1C043FE7"/>
    <w:rsid w:val="1C24738A"/>
    <w:rsid w:val="1C3870BC"/>
    <w:rsid w:val="1C3B5AC6"/>
    <w:rsid w:val="1C411335"/>
    <w:rsid w:val="1C487F71"/>
    <w:rsid w:val="1C4A47B7"/>
    <w:rsid w:val="1C5C6D59"/>
    <w:rsid w:val="1C80719B"/>
    <w:rsid w:val="1C8A3571"/>
    <w:rsid w:val="1C951B16"/>
    <w:rsid w:val="1C9D3656"/>
    <w:rsid w:val="1CA13D9D"/>
    <w:rsid w:val="1CA23EF2"/>
    <w:rsid w:val="1CAE64C8"/>
    <w:rsid w:val="1CB46743"/>
    <w:rsid w:val="1CC47AA2"/>
    <w:rsid w:val="1CD10BD6"/>
    <w:rsid w:val="1CDA1464"/>
    <w:rsid w:val="1CDC65AB"/>
    <w:rsid w:val="1D131994"/>
    <w:rsid w:val="1D271DC8"/>
    <w:rsid w:val="1D3252A6"/>
    <w:rsid w:val="1D4503F3"/>
    <w:rsid w:val="1D556936"/>
    <w:rsid w:val="1D7C70A5"/>
    <w:rsid w:val="1D9E3691"/>
    <w:rsid w:val="1DAB0914"/>
    <w:rsid w:val="1DBC4C07"/>
    <w:rsid w:val="1DC31917"/>
    <w:rsid w:val="1DD53E68"/>
    <w:rsid w:val="1DD831BC"/>
    <w:rsid w:val="1DF44890"/>
    <w:rsid w:val="1E0B7154"/>
    <w:rsid w:val="1E0F0178"/>
    <w:rsid w:val="1E1E1A45"/>
    <w:rsid w:val="1E23501A"/>
    <w:rsid w:val="1E26475D"/>
    <w:rsid w:val="1E3702D4"/>
    <w:rsid w:val="1E391E8E"/>
    <w:rsid w:val="1E3F4905"/>
    <w:rsid w:val="1E522E13"/>
    <w:rsid w:val="1E7E1C18"/>
    <w:rsid w:val="1E803717"/>
    <w:rsid w:val="1E896B69"/>
    <w:rsid w:val="1E8D34B2"/>
    <w:rsid w:val="1E8D7E0A"/>
    <w:rsid w:val="1EA36AE0"/>
    <w:rsid w:val="1EA41680"/>
    <w:rsid w:val="1EAD1441"/>
    <w:rsid w:val="1EAE177D"/>
    <w:rsid w:val="1EB511AD"/>
    <w:rsid w:val="1ECC4108"/>
    <w:rsid w:val="1ED331A5"/>
    <w:rsid w:val="1EDE2DC6"/>
    <w:rsid w:val="1EF50B2C"/>
    <w:rsid w:val="1EFD5EA8"/>
    <w:rsid w:val="1F03019E"/>
    <w:rsid w:val="1F0E14C3"/>
    <w:rsid w:val="1F113D30"/>
    <w:rsid w:val="1F1E1DD6"/>
    <w:rsid w:val="1F245A9A"/>
    <w:rsid w:val="1F270100"/>
    <w:rsid w:val="1F293059"/>
    <w:rsid w:val="1F2B2C12"/>
    <w:rsid w:val="1F381761"/>
    <w:rsid w:val="1F3C316D"/>
    <w:rsid w:val="1F5419C8"/>
    <w:rsid w:val="1F551F23"/>
    <w:rsid w:val="1F5534A4"/>
    <w:rsid w:val="1F5B437B"/>
    <w:rsid w:val="1F615DB5"/>
    <w:rsid w:val="1F6355C2"/>
    <w:rsid w:val="1F9865A7"/>
    <w:rsid w:val="1FAB0A8F"/>
    <w:rsid w:val="1FB42F16"/>
    <w:rsid w:val="1FB67A57"/>
    <w:rsid w:val="1FBA5D7E"/>
    <w:rsid w:val="1FBD5BB3"/>
    <w:rsid w:val="1FEE2497"/>
    <w:rsid w:val="200C0BCE"/>
    <w:rsid w:val="20100BF8"/>
    <w:rsid w:val="20143564"/>
    <w:rsid w:val="201C0103"/>
    <w:rsid w:val="20361B1A"/>
    <w:rsid w:val="20383362"/>
    <w:rsid w:val="204B6554"/>
    <w:rsid w:val="20656D3A"/>
    <w:rsid w:val="206E271E"/>
    <w:rsid w:val="20794E42"/>
    <w:rsid w:val="207B31D2"/>
    <w:rsid w:val="20847AB0"/>
    <w:rsid w:val="20976C1C"/>
    <w:rsid w:val="20B0311C"/>
    <w:rsid w:val="20BD749E"/>
    <w:rsid w:val="20C604D9"/>
    <w:rsid w:val="20CB3E10"/>
    <w:rsid w:val="20CD087F"/>
    <w:rsid w:val="20CF2BDE"/>
    <w:rsid w:val="20D01112"/>
    <w:rsid w:val="20EE7984"/>
    <w:rsid w:val="20EF0626"/>
    <w:rsid w:val="20FE025F"/>
    <w:rsid w:val="20FF3986"/>
    <w:rsid w:val="21082C28"/>
    <w:rsid w:val="21086024"/>
    <w:rsid w:val="210A2B0A"/>
    <w:rsid w:val="210F119C"/>
    <w:rsid w:val="21201406"/>
    <w:rsid w:val="212B764E"/>
    <w:rsid w:val="213A7688"/>
    <w:rsid w:val="21413C90"/>
    <w:rsid w:val="21422301"/>
    <w:rsid w:val="215255E5"/>
    <w:rsid w:val="215F0E8D"/>
    <w:rsid w:val="21600A88"/>
    <w:rsid w:val="217334F6"/>
    <w:rsid w:val="21735C0D"/>
    <w:rsid w:val="2178448C"/>
    <w:rsid w:val="21857179"/>
    <w:rsid w:val="21884AA9"/>
    <w:rsid w:val="219A5422"/>
    <w:rsid w:val="219D4A71"/>
    <w:rsid w:val="21AB45DF"/>
    <w:rsid w:val="21B278CB"/>
    <w:rsid w:val="21C34F0B"/>
    <w:rsid w:val="21C666F0"/>
    <w:rsid w:val="21CE165F"/>
    <w:rsid w:val="21DB7F21"/>
    <w:rsid w:val="21EC3DFA"/>
    <w:rsid w:val="21F73F8C"/>
    <w:rsid w:val="22035C75"/>
    <w:rsid w:val="2211638D"/>
    <w:rsid w:val="22213D62"/>
    <w:rsid w:val="223B4696"/>
    <w:rsid w:val="22622B30"/>
    <w:rsid w:val="22657DFD"/>
    <w:rsid w:val="226870EA"/>
    <w:rsid w:val="22743FF0"/>
    <w:rsid w:val="228423D2"/>
    <w:rsid w:val="228D2E56"/>
    <w:rsid w:val="229355AD"/>
    <w:rsid w:val="22964E5B"/>
    <w:rsid w:val="229B7747"/>
    <w:rsid w:val="22B77383"/>
    <w:rsid w:val="22BA12D7"/>
    <w:rsid w:val="22C05BC3"/>
    <w:rsid w:val="22C120C9"/>
    <w:rsid w:val="22DA295E"/>
    <w:rsid w:val="22E23331"/>
    <w:rsid w:val="22E935DB"/>
    <w:rsid w:val="23131A45"/>
    <w:rsid w:val="232762DB"/>
    <w:rsid w:val="232B3D2D"/>
    <w:rsid w:val="233D74A1"/>
    <w:rsid w:val="234C7B7C"/>
    <w:rsid w:val="235B1BAC"/>
    <w:rsid w:val="235B2B6D"/>
    <w:rsid w:val="23662095"/>
    <w:rsid w:val="236A7312"/>
    <w:rsid w:val="23932238"/>
    <w:rsid w:val="23A066FC"/>
    <w:rsid w:val="23A50BDC"/>
    <w:rsid w:val="23A61A6E"/>
    <w:rsid w:val="23B914CF"/>
    <w:rsid w:val="23BB1199"/>
    <w:rsid w:val="23BB239F"/>
    <w:rsid w:val="23BC78EB"/>
    <w:rsid w:val="23BE2E3A"/>
    <w:rsid w:val="23C36C2F"/>
    <w:rsid w:val="23D11090"/>
    <w:rsid w:val="23D61A32"/>
    <w:rsid w:val="23F81496"/>
    <w:rsid w:val="240309AD"/>
    <w:rsid w:val="24060C63"/>
    <w:rsid w:val="240A3EE0"/>
    <w:rsid w:val="240D6177"/>
    <w:rsid w:val="24204597"/>
    <w:rsid w:val="242470C5"/>
    <w:rsid w:val="24320691"/>
    <w:rsid w:val="24330EAA"/>
    <w:rsid w:val="243B6E30"/>
    <w:rsid w:val="24473D96"/>
    <w:rsid w:val="244752DD"/>
    <w:rsid w:val="244E12ED"/>
    <w:rsid w:val="2454633A"/>
    <w:rsid w:val="246358A3"/>
    <w:rsid w:val="24635CBF"/>
    <w:rsid w:val="246D25C6"/>
    <w:rsid w:val="246D7867"/>
    <w:rsid w:val="2477125B"/>
    <w:rsid w:val="2483160A"/>
    <w:rsid w:val="24864E09"/>
    <w:rsid w:val="2488542A"/>
    <w:rsid w:val="24A41E5C"/>
    <w:rsid w:val="24A479CE"/>
    <w:rsid w:val="24AB3B89"/>
    <w:rsid w:val="24B276E5"/>
    <w:rsid w:val="24B9524E"/>
    <w:rsid w:val="24BC512B"/>
    <w:rsid w:val="24C30006"/>
    <w:rsid w:val="24C800FC"/>
    <w:rsid w:val="24CF5BAE"/>
    <w:rsid w:val="24D64473"/>
    <w:rsid w:val="24E95822"/>
    <w:rsid w:val="24EC2289"/>
    <w:rsid w:val="25024EF6"/>
    <w:rsid w:val="251C081F"/>
    <w:rsid w:val="25236694"/>
    <w:rsid w:val="25242BA5"/>
    <w:rsid w:val="25295218"/>
    <w:rsid w:val="252B0DBA"/>
    <w:rsid w:val="252F63FB"/>
    <w:rsid w:val="25301263"/>
    <w:rsid w:val="253F553A"/>
    <w:rsid w:val="25436CCF"/>
    <w:rsid w:val="25443EFE"/>
    <w:rsid w:val="254A7A60"/>
    <w:rsid w:val="25510FDE"/>
    <w:rsid w:val="25670F2A"/>
    <w:rsid w:val="257E48EE"/>
    <w:rsid w:val="25936B87"/>
    <w:rsid w:val="25A96F08"/>
    <w:rsid w:val="25AE20F9"/>
    <w:rsid w:val="25BA3C2F"/>
    <w:rsid w:val="25C75A21"/>
    <w:rsid w:val="25CD758F"/>
    <w:rsid w:val="25CE1121"/>
    <w:rsid w:val="25D573DD"/>
    <w:rsid w:val="25DF1958"/>
    <w:rsid w:val="25E92A45"/>
    <w:rsid w:val="25F21BE3"/>
    <w:rsid w:val="262E74F9"/>
    <w:rsid w:val="26331B83"/>
    <w:rsid w:val="26360DB9"/>
    <w:rsid w:val="2650207F"/>
    <w:rsid w:val="265D1AEE"/>
    <w:rsid w:val="26732D56"/>
    <w:rsid w:val="267E60EF"/>
    <w:rsid w:val="267F3FDA"/>
    <w:rsid w:val="268B161A"/>
    <w:rsid w:val="26B419F5"/>
    <w:rsid w:val="26CB1E64"/>
    <w:rsid w:val="26D7485F"/>
    <w:rsid w:val="26E5305D"/>
    <w:rsid w:val="26E53E91"/>
    <w:rsid w:val="26FB1E57"/>
    <w:rsid w:val="2714423C"/>
    <w:rsid w:val="27160B45"/>
    <w:rsid w:val="27232426"/>
    <w:rsid w:val="27373E05"/>
    <w:rsid w:val="274474EE"/>
    <w:rsid w:val="276D2EEE"/>
    <w:rsid w:val="277F5F9A"/>
    <w:rsid w:val="27835491"/>
    <w:rsid w:val="279106E9"/>
    <w:rsid w:val="27960B28"/>
    <w:rsid w:val="27976E66"/>
    <w:rsid w:val="27B507DB"/>
    <w:rsid w:val="27C034CA"/>
    <w:rsid w:val="27DC00F3"/>
    <w:rsid w:val="27E45F4A"/>
    <w:rsid w:val="27E62FAC"/>
    <w:rsid w:val="27ED64BF"/>
    <w:rsid w:val="28350063"/>
    <w:rsid w:val="28402D6F"/>
    <w:rsid w:val="284B6A70"/>
    <w:rsid w:val="285A665C"/>
    <w:rsid w:val="286D4A97"/>
    <w:rsid w:val="288172A7"/>
    <w:rsid w:val="28A863FE"/>
    <w:rsid w:val="28C30807"/>
    <w:rsid w:val="28E9449D"/>
    <w:rsid w:val="28FE256C"/>
    <w:rsid w:val="28FF4A01"/>
    <w:rsid w:val="291109B3"/>
    <w:rsid w:val="29111421"/>
    <w:rsid w:val="291B2FDC"/>
    <w:rsid w:val="291D2C3F"/>
    <w:rsid w:val="29294F47"/>
    <w:rsid w:val="29344724"/>
    <w:rsid w:val="294A6A04"/>
    <w:rsid w:val="294D23BF"/>
    <w:rsid w:val="29654FBB"/>
    <w:rsid w:val="2970453C"/>
    <w:rsid w:val="297B044C"/>
    <w:rsid w:val="29814898"/>
    <w:rsid w:val="298A3ECC"/>
    <w:rsid w:val="298C47CB"/>
    <w:rsid w:val="29B625D3"/>
    <w:rsid w:val="29BA3A2C"/>
    <w:rsid w:val="29CC4423"/>
    <w:rsid w:val="29F7339B"/>
    <w:rsid w:val="2A03619B"/>
    <w:rsid w:val="2A084205"/>
    <w:rsid w:val="2A087892"/>
    <w:rsid w:val="2A0D4FC7"/>
    <w:rsid w:val="2A1421EE"/>
    <w:rsid w:val="2A2E40D2"/>
    <w:rsid w:val="2A3D02FF"/>
    <w:rsid w:val="2A5A77B4"/>
    <w:rsid w:val="2A5D723B"/>
    <w:rsid w:val="2A5F0B62"/>
    <w:rsid w:val="2A5F7CEC"/>
    <w:rsid w:val="2A644583"/>
    <w:rsid w:val="2A7476D9"/>
    <w:rsid w:val="2AE14BEF"/>
    <w:rsid w:val="2AF10E35"/>
    <w:rsid w:val="2AF655B0"/>
    <w:rsid w:val="2B020C72"/>
    <w:rsid w:val="2B035038"/>
    <w:rsid w:val="2B092F46"/>
    <w:rsid w:val="2B0A4D24"/>
    <w:rsid w:val="2B267701"/>
    <w:rsid w:val="2B2F22A7"/>
    <w:rsid w:val="2B4C0495"/>
    <w:rsid w:val="2B5438E6"/>
    <w:rsid w:val="2B5E47AF"/>
    <w:rsid w:val="2B6530DC"/>
    <w:rsid w:val="2B6857FA"/>
    <w:rsid w:val="2B6C0A74"/>
    <w:rsid w:val="2B7D4EB6"/>
    <w:rsid w:val="2B7E118D"/>
    <w:rsid w:val="2B7E174D"/>
    <w:rsid w:val="2B8A6D75"/>
    <w:rsid w:val="2B8D3E0E"/>
    <w:rsid w:val="2B9C2D52"/>
    <w:rsid w:val="2BCB7F27"/>
    <w:rsid w:val="2BCF07A3"/>
    <w:rsid w:val="2BD6452F"/>
    <w:rsid w:val="2BD67C00"/>
    <w:rsid w:val="2BD73ACE"/>
    <w:rsid w:val="2BEB7DD8"/>
    <w:rsid w:val="2BFE6C69"/>
    <w:rsid w:val="2C0D3E24"/>
    <w:rsid w:val="2C131057"/>
    <w:rsid w:val="2C1A4405"/>
    <w:rsid w:val="2C2434AF"/>
    <w:rsid w:val="2C296F95"/>
    <w:rsid w:val="2C31297A"/>
    <w:rsid w:val="2C356A34"/>
    <w:rsid w:val="2C5F16FD"/>
    <w:rsid w:val="2CE1206D"/>
    <w:rsid w:val="2D1D58AE"/>
    <w:rsid w:val="2D21032B"/>
    <w:rsid w:val="2D247E75"/>
    <w:rsid w:val="2D25786A"/>
    <w:rsid w:val="2D2D6717"/>
    <w:rsid w:val="2D455B45"/>
    <w:rsid w:val="2D495AB1"/>
    <w:rsid w:val="2D4E6A45"/>
    <w:rsid w:val="2D504ED5"/>
    <w:rsid w:val="2D5F14F9"/>
    <w:rsid w:val="2D5F7493"/>
    <w:rsid w:val="2D622334"/>
    <w:rsid w:val="2D660330"/>
    <w:rsid w:val="2D6D6544"/>
    <w:rsid w:val="2D8E2996"/>
    <w:rsid w:val="2D907172"/>
    <w:rsid w:val="2D9C0E7E"/>
    <w:rsid w:val="2DAE6303"/>
    <w:rsid w:val="2DC110FE"/>
    <w:rsid w:val="2DCE65D1"/>
    <w:rsid w:val="2DCF3F9F"/>
    <w:rsid w:val="2DDA0E06"/>
    <w:rsid w:val="2DE12C37"/>
    <w:rsid w:val="2DF8193E"/>
    <w:rsid w:val="2E01646F"/>
    <w:rsid w:val="2E271789"/>
    <w:rsid w:val="2E294A40"/>
    <w:rsid w:val="2E313D5D"/>
    <w:rsid w:val="2E371510"/>
    <w:rsid w:val="2E5F40DA"/>
    <w:rsid w:val="2E65199C"/>
    <w:rsid w:val="2E7A6B21"/>
    <w:rsid w:val="2E7E3C7F"/>
    <w:rsid w:val="2E957301"/>
    <w:rsid w:val="2E9721FE"/>
    <w:rsid w:val="2E9830EE"/>
    <w:rsid w:val="2EAE102D"/>
    <w:rsid w:val="2EC7078E"/>
    <w:rsid w:val="2EE25566"/>
    <w:rsid w:val="2EF0725B"/>
    <w:rsid w:val="2F09019F"/>
    <w:rsid w:val="2F281FAF"/>
    <w:rsid w:val="2F311F8E"/>
    <w:rsid w:val="2F454BE4"/>
    <w:rsid w:val="2F4E34FE"/>
    <w:rsid w:val="2F577A08"/>
    <w:rsid w:val="2F6839C3"/>
    <w:rsid w:val="2F7041DA"/>
    <w:rsid w:val="2F7C4737"/>
    <w:rsid w:val="2F7E6E26"/>
    <w:rsid w:val="2F811268"/>
    <w:rsid w:val="2FAD52D8"/>
    <w:rsid w:val="2FB92D54"/>
    <w:rsid w:val="2FD7775E"/>
    <w:rsid w:val="2FDC77A0"/>
    <w:rsid w:val="2FE1169C"/>
    <w:rsid w:val="2FEC137B"/>
    <w:rsid w:val="2FFE15AB"/>
    <w:rsid w:val="300F2D93"/>
    <w:rsid w:val="30171234"/>
    <w:rsid w:val="301E0D5E"/>
    <w:rsid w:val="30260539"/>
    <w:rsid w:val="30294047"/>
    <w:rsid w:val="302A79AF"/>
    <w:rsid w:val="303206C1"/>
    <w:rsid w:val="303A6380"/>
    <w:rsid w:val="30422415"/>
    <w:rsid w:val="30470360"/>
    <w:rsid w:val="305C49A6"/>
    <w:rsid w:val="305E2699"/>
    <w:rsid w:val="306726D2"/>
    <w:rsid w:val="30677B38"/>
    <w:rsid w:val="30710FC1"/>
    <w:rsid w:val="30782422"/>
    <w:rsid w:val="3079126F"/>
    <w:rsid w:val="309361A4"/>
    <w:rsid w:val="30950A23"/>
    <w:rsid w:val="30A35406"/>
    <w:rsid w:val="30A62809"/>
    <w:rsid w:val="30AF6EE6"/>
    <w:rsid w:val="30B10214"/>
    <w:rsid w:val="30B30E59"/>
    <w:rsid w:val="30B45230"/>
    <w:rsid w:val="30BA5A2D"/>
    <w:rsid w:val="30C20B70"/>
    <w:rsid w:val="30D03FD0"/>
    <w:rsid w:val="30EB6C5F"/>
    <w:rsid w:val="31030340"/>
    <w:rsid w:val="31092A06"/>
    <w:rsid w:val="310975F5"/>
    <w:rsid w:val="310F250E"/>
    <w:rsid w:val="311C3EEB"/>
    <w:rsid w:val="31244D73"/>
    <w:rsid w:val="31295229"/>
    <w:rsid w:val="31474B26"/>
    <w:rsid w:val="314C33C5"/>
    <w:rsid w:val="31584AFE"/>
    <w:rsid w:val="31592A40"/>
    <w:rsid w:val="315F65F0"/>
    <w:rsid w:val="316514E2"/>
    <w:rsid w:val="317D0852"/>
    <w:rsid w:val="31857392"/>
    <w:rsid w:val="318F5E83"/>
    <w:rsid w:val="31BF423F"/>
    <w:rsid w:val="31CA766F"/>
    <w:rsid w:val="31DA6208"/>
    <w:rsid w:val="31DD57C9"/>
    <w:rsid w:val="31E12E11"/>
    <w:rsid w:val="31F85D8F"/>
    <w:rsid w:val="31FD5BB5"/>
    <w:rsid w:val="320733AC"/>
    <w:rsid w:val="32103B7E"/>
    <w:rsid w:val="321D0FA6"/>
    <w:rsid w:val="323715F7"/>
    <w:rsid w:val="323A5B23"/>
    <w:rsid w:val="325905F2"/>
    <w:rsid w:val="32592C72"/>
    <w:rsid w:val="325A4AFC"/>
    <w:rsid w:val="325B1511"/>
    <w:rsid w:val="325D6B86"/>
    <w:rsid w:val="32605866"/>
    <w:rsid w:val="326B2D7F"/>
    <w:rsid w:val="32711098"/>
    <w:rsid w:val="32791C41"/>
    <w:rsid w:val="327B1295"/>
    <w:rsid w:val="329F7DB6"/>
    <w:rsid w:val="32A670A8"/>
    <w:rsid w:val="32B21A0E"/>
    <w:rsid w:val="32BC3FCB"/>
    <w:rsid w:val="32BF4B25"/>
    <w:rsid w:val="32E91BA2"/>
    <w:rsid w:val="32EC03C2"/>
    <w:rsid w:val="32F2141E"/>
    <w:rsid w:val="32F86D51"/>
    <w:rsid w:val="331104E5"/>
    <w:rsid w:val="33267B54"/>
    <w:rsid w:val="332E1598"/>
    <w:rsid w:val="33323178"/>
    <w:rsid w:val="334223CD"/>
    <w:rsid w:val="334317B8"/>
    <w:rsid w:val="3355151D"/>
    <w:rsid w:val="335B28DB"/>
    <w:rsid w:val="336000E9"/>
    <w:rsid w:val="33671D32"/>
    <w:rsid w:val="33751688"/>
    <w:rsid w:val="33813B89"/>
    <w:rsid w:val="33882539"/>
    <w:rsid w:val="33887254"/>
    <w:rsid w:val="33957634"/>
    <w:rsid w:val="33A2151B"/>
    <w:rsid w:val="33B56BB5"/>
    <w:rsid w:val="33C323F3"/>
    <w:rsid w:val="33C55262"/>
    <w:rsid w:val="33D40B38"/>
    <w:rsid w:val="33D555FD"/>
    <w:rsid w:val="33DA1055"/>
    <w:rsid w:val="33DC5515"/>
    <w:rsid w:val="33DE39F9"/>
    <w:rsid w:val="33E318AB"/>
    <w:rsid w:val="33FE78CF"/>
    <w:rsid w:val="340418AA"/>
    <w:rsid w:val="34117E05"/>
    <w:rsid w:val="3424467C"/>
    <w:rsid w:val="342E1FE4"/>
    <w:rsid w:val="34376E40"/>
    <w:rsid w:val="345C233C"/>
    <w:rsid w:val="34630668"/>
    <w:rsid w:val="346319D2"/>
    <w:rsid w:val="346A49E2"/>
    <w:rsid w:val="34735BC7"/>
    <w:rsid w:val="347F33C9"/>
    <w:rsid w:val="348D7CF5"/>
    <w:rsid w:val="348E4125"/>
    <w:rsid w:val="34952FE0"/>
    <w:rsid w:val="34A32CC0"/>
    <w:rsid w:val="34D20414"/>
    <w:rsid w:val="34D65A20"/>
    <w:rsid w:val="34E4563F"/>
    <w:rsid w:val="34E90852"/>
    <w:rsid w:val="34F04539"/>
    <w:rsid w:val="34F446AA"/>
    <w:rsid w:val="34F9162E"/>
    <w:rsid w:val="351C264D"/>
    <w:rsid w:val="35284ED7"/>
    <w:rsid w:val="353213DD"/>
    <w:rsid w:val="354D3579"/>
    <w:rsid w:val="354F56EA"/>
    <w:rsid w:val="357C636D"/>
    <w:rsid w:val="35844556"/>
    <w:rsid w:val="358C13A5"/>
    <w:rsid w:val="35A7174A"/>
    <w:rsid w:val="35B12CDA"/>
    <w:rsid w:val="35E07C9F"/>
    <w:rsid w:val="35F567F2"/>
    <w:rsid w:val="36057256"/>
    <w:rsid w:val="360C26AB"/>
    <w:rsid w:val="360E45FD"/>
    <w:rsid w:val="360F660C"/>
    <w:rsid w:val="361029E3"/>
    <w:rsid w:val="361A0FB5"/>
    <w:rsid w:val="361A6372"/>
    <w:rsid w:val="36253206"/>
    <w:rsid w:val="36290D42"/>
    <w:rsid w:val="366C23EA"/>
    <w:rsid w:val="366F4A9B"/>
    <w:rsid w:val="36720DE2"/>
    <w:rsid w:val="3678439E"/>
    <w:rsid w:val="367E2601"/>
    <w:rsid w:val="367E56EA"/>
    <w:rsid w:val="36852C86"/>
    <w:rsid w:val="36880581"/>
    <w:rsid w:val="369B0C73"/>
    <w:rsid w:val="369E1507"/>
    <w:rsid w:val="36C87F7F"/>
    <w:rsid w:val="36CD4C35"/>
    <w:rsid w:val="36DC0008"/>
    <w:rsid w:val="36E64FBD"/>
    <w:rsid w:val="36FF4D71"/>
    <w:rsid w:val="37012FE0"/>
    <w:rsid w:val="370D5221"/>
    <w:rsid w:val="3712050E"/>
    <w:rsid w:val="3716010B"/>
    <w:rsid w:val="372026D9"/>
    <w:rsid w:val="37334286"/>
    <w:rsid w:val="375223CB"/>
    <w:rsid w:val="375B1DA9"/>
    <w:rsid w:val="377041B0"/>
    <w:rsid w:val="37711100"/>
    <w:rsid w:val="378547CF"/>
    <w:rsid w:val="378679C0"/>
    <w:rsid w:val="37A14DC7"/>
    <w:rsid w:val="37B16191"/>
    <w:rsid w:val="37C64809"/>
    <w:rsid w:val="37D527ED"/>
    <w:rsid w:val="37E1092B"/>
    <w:rsid w:val="37ED748E"/>
    <w:rsid w:val="37F66A63"/>
    <w:rsid w:val="37FF1126"/>
    <w:rsid w:val="381364FE"/>
    <w:rsid w:val="381B2256"/>
    <w:rsid w:val="383B30CC"/>
    <w:rsid w:val="38404A6D"/>
    <w:rsid w:val="384635F3"/>
    <w:rsid w:val="385702C7"/>
    <w:rsid w:val="385C73B7"/>
    <w:rsid w:val="38733190"/>
    <w:rsid w:val="387C64DF"/>
    <w:rsid w:val="38940FFE"/>
    <w:rsid w:val="38A66FA9"/>
    <w:rsid w:val="38AA26F0"/>
    <w:rsid w:val="38AC469D"/>
    <w:rsid w:val="38AE7C7B"/>
    <w:rsid w:val="38B47CEB"/>
    <w:rsid w:val="38B6556D"/>
    <w:rsid w:val="38BC06D0"/>
    <w:rsid w:val="38BE48CA"/>
    <w:rsid w:val="38C06FA2"/>
    <w:rsid w:val="390239BE"/>
    <w:rsid w:val="39157EF1"/>
    <w:rsid w:val="39162207"/>
    <w:rsid w:val="39254C00"/>
    <w:rsid w:val="39442277"/>
    <w:rsid w:val="394752D8"/>
    <w:rsid w:val="394B1BD8"/>
    <w:rsid w:val="394D06DF"/>
    <w:rsid w:val="39675C2D"/>
    <w:rsid w:val="396A2D30"/>
    <w:rsid w:val="396E4A27"/>
    <w:rsid w:val="39790A26"/>
    <w:rsid w:val="397D0963"/>
    <w:rsid w:val="399829E9"/>
    <w:rsid w:val="399D16DF"/>
    <w:rsid w:val="39A14F85"/>
    <w:rsid w:val="39AF77D3"/>
    <w:rsid w:val="39B41635"/>
    <w:rsid w:val="39C932C9"/>
    <w:rsid w:val="39C95759"/>
    <w:rsid w:val="39D628B6"/>
    <w:rsid w:val="39D92D78"/>
    <w:rsid w:val="39DA5816"/>
    <w:rsid w:val="39E77348"/>
    <w:rsid w:val="39FE23D7"/>
    <w:rsid w:val="3A0B5FF0"/>
    <w:rsid w:val="3A167B07"/>
    <w:rsid w:val="3A1A62BB"/>
    <w:rsid w:val="3A1A6AE5"/>
    <w:rsid w:val="3A1B506B"/>
    <w:rsid w:val="3A3234A6"/>
    <w:rsid w:val="3A344576"/>
    <w:rsid w:val="3A47182D"/>
    <w:rsid w:val="3A5A0675"/>
    <w:rsid w:val="3A5C60B6"/>
    <w:rsid w:val="3A604BDA"/>
    <w:rsid w:val="3A633AC9"/>
    <w:rsid w:val="3A7E3A6C"/>
    <w:rsid w:val="3A7F4C8C"/>
    <w:rsid w:val="3A804782"/>
    <w:rsid w:val="3A863F81"/>
    <w:rsid w:val="3A895AB6"/>
    <w:rsid w:val="3A8A51DC"/>
    <w:rsid w:val="3A9A42B6"/>
    <w:rsid w:val="3AA402C4"/>
    <w:rsid w:val="3AA44A1A"/>
    <w:rsid w:val="3ABC5030"/>
    <w:rsid w:val="3ABD4469"/>
    <w:rsid w:val="3AC2741C"/>
    <w:rsid w:val="3AE26BF8"/>
    <w:rsid w:val="3AE76D25"/>
    <w:rsid w:val="3AEB4263"/>
    <w:rsid w:val="3AF27B60"/>
    <w:rsid w:val="3B0302C0"/>
    <w:rsid w:val="3B1938DB"/>
    <w:rsid w:val="3B2719AB"/>
    <w:rsid w:val="3B3776A0"/>
    <w:rsid w:val="3B571C83"/>
    <w:rsid w:val="3B637829"/>
    <w:rsid w:val="3B6E3B67"/>
    <w:rsid w:val="3B71560D"/>
    <w:rsid w:val="3B7B27F5"/>
    <w:rsid w:val="3B884F7F"/>
    <w:rsid w:val="3B893FDA"/>
    <w:rsid w:val="3B9823B7"/>
    <w:rsid w:val="3BA71470"/>
    <w:rsid w:val="3BCA394C"/>
    <w:rsid w:val="3BCB6709"/>
    <w:rsid w:val="3BD54F24"/>
    <w:rsid w:val="3BF84FE8"/>
    <w:rsid w:val="3BF9738F"/>
    <w:rsid w:val="3BFF7AB9"/>
    <w:rsid w:val="3C18256C"/>
    <w:rsid w:val="3C28562A"/>
    <w:rsid w:val="3C385FEE"/>
    <w:rsid w:val="3C4E6B52"/>
    <w:rsid w:val="3C4F7068"/>
    <w:rsid w:val="3C6A6AFA"/>
    <w:rsid w:val="3C6B35F7"/>
    <w:rsid w:val="3C6D79B2"/>
    <w:rsid w:val="3C8B3196"/>
    <w:rsid w:val="3C8C68C9"/>
    <w:rsid w:val="3C9012E0"/>
    <w:rsid w:val="3C9C1627"/>
    <w:rsid w:val="3CA7127E"/>
    <w:rsid w:val="3CAA4F7D"/>
    <w:rsid w:val="3CB743DF"/>
    <w:rsid w:val="3CBB26AA"/>
    <w:rsid w:val="3CBF7846"/>
    <w:rsid w:val="3CC5434F"/>
    <w:rsid w:val="3D0325E5"/>
    <w:rsid w:val="3D040EF4"/>
    <w:rsid w:val="3D2F6FFD"/>
    <w:rsid w:val="3D3907E1"/>
    <w:rsid w:val="3D441945"/>
    <w:rsid w:val="3D4C143D"/>
    <w:rsid w:val="3D500C81"/>
    <w:rsid w:val="3D520A2B"/>
    <w:rsid w:val="3D5375EF"/>
    <w:rsid w:val="3D564CBC"/>
    <w:rsid w:val="3D5814CE"/>
    <w:rsid w:val="3D633EBA"/>
    <w:rsid w:val="3D840E45"/>
    <w:rsid w:val="3D897F02"/>
    <w:rsid w:val="3D8C1C74"/>
    <w:rsid w:val="3D9A2B82"/>
    <w:rsid w:val="3D9D26BD"/>
    <w:rsid w:val="3DA76F46"/>
    <w:rsid w:val="3DE71520"/>
    <w:rsid w:val="3DEE2762"/>
    <w:rsid w:val="3DFD29A6"/>
    <w:rsid w:val="3E0A42FD"/>
    <w:rsid w:val="3E1A5362"/>
    <w:rsid w:val="3E370D7E"/>
    <w:rsid w:val="3E3E06CA"/>
    <w:rsid w:val="3E3E604E"/>
    <w:rsid w:val="3E61499C"/>
    <w:rsid w:val="3E66131F"/>
    <w:rsid w:val="3E6D2B2A"/>
    <w:rsid w:val="3E6E73D9"/>
    <w:rsid w:val="3E764E3B"/>
    <w:rsid w:val="3E7E04AE"/>
    <w:rsid w:val="3E864C36"/>
    <w:rsid w:val="3E8751FA"/>
    <w:rsid w:val="3E876EFC"/>
    <w:rsid w:val="3E902DFB"/>
    <w:rsid w:val="3E980BB7"/>
    <w:rsid w:val="3EA047D6"/>
    <w:rsid w:val="3EB80A0F"/>
    <w:rsid w:val="3EDC7C66"/>
    <w:rsid w:val="3EEE4A57"/>
    <w:rsid w:val="3EEE7497"/>
    <w:rsid w:val="3EF91116"/>
    <w:rsid w:val="3F067452"/>
    <w:rsid w:val="3F0E59DB"/>
    <w:rsid w:val="3F284529"/>
    <w:rsid w:val="3F3F452C"/>
    <w:rsid w:val="3F4A40B3"/>
    <w:rsid w:val="3F59629A"/>
    <w:rsid w:val="3F6B0348"/>
    <w:rsid w:val="3F6B4731"/>
    <w:rsid w:val="3F874C1D"/>
    <w:rsid w:val="3F8C1AB0"/>
    <w:rsid w:val="3F936A3C"/>
    <w:rsid w:val="3FA064E4"/>
    <w:rsid w:val="3FA34BF3"/>
    <w:rsid w:val="3FAC1A8C"/>
    <w:rsid w:val="3FB22890"/>
    <w:rsid w:val="3FBF6E07"/>
    <w:rsid w:val="3FCC5C4D"/>
    <w:rsid w:val="3FDE17F2"/>
    <w:rsid w:val="3FE7346D"/>
    <w:rsid w:val="3FF25966"/>
    <w:rsid w:val="3FF26AE5"/>
    <w:rsid w:val="40042339"/>
    <w:rsid w:val="400E5DFF"/>
    <w:rsid w:val="40134BAE"/>
    <w:rsid w:val="40263959"/>
    <w:rsid w:val="40285E9D"/>
    <w:rsid w:val="402D66AE"/>
    <w:rsid w:val="402F4F30"/>
    <w:rsid w:val="40434EC2"/>
    <w:rsid w:val="40461D35"/>
    <w:rsid w:val="404E343A"/>
    <w:rsid w:val="40641840"/>
    <w:rsid w:val="40697FD5"/>
    <w:rsid w:val="40761C85"/>
    <w:rsid w:val="4089655D"/>
    <w:rsid w:val="40995778"/>
    <w:rsid w:val="409975C8"/>
    <w:rsid w:val="40AD5DD8"/>
    <w:rsid w:val="40B14CD4"/>
    <w:rsid w:val="40D17E40"/>
    <w:rsid w:val="40D46022"/>
    <w:rsid w:val="40E44921"/>
    <w:rsid w:val="41027D58"/>
    <w:rsid w:val="411448C4"/>
    <w:rsid w:val="411D5827"/>
    <w:rsid w:val="41416E55"/>
    <w:rsid w:val="4143025A"/>
    <w:rsid w:val="41521DF6"/>
    <w:rsid w:val="41583972"/>
    <w:rsid w:val="41635215"/>
    <w:rsid w:val="41657F4F"/>
    <w:rsid w:val="416B707A"/>
    <w:rsid w:val="4171280D"/>
    <w:rsid w:val="418A27A2"/>
    <w:rsid w:val="41945371"/>
    <w:rsid w:val="419929E5"/>
    <w:rsid w:val="41AE732D"/>
    <w:rsid w:val="41B7356A"/>
    <w:rsid w:val="41C80780"/>
    <w:rsid w:val="41EA4CB5"/>
    <w:rsid w:val="42087DC9"/>
    <w:rsid w:val="42096450"/>
    <w:rsid w:val="422327AC"/>
    <w:rsid w:val="422B0BA9"/>
    <w:rsid w:val="42317A3E"/>
    <w:rsid w:val="4265081F"/>
    <w:rsid w:val="42671D2E"/>
    <w:rsid w:val="42732368"/>
    <w:rsid w:val="427D39ED"/>
    <w:rsid w:val="42876155"/>
    <w:rsid w:val="42B46185"/>
    <w:rsid w:val="42BF6892"/>
    <w:rsid w:val="42BF7C3E"/>
    <w:rsid w:val="42C25C08"/>
    <w:rsid w:val="42DD7828"/>
    <w:rsid w:val="42F65360"/>
    <w:rsid w:val="42F75817"/>
    <w:rsid w:val="43052E50"/>
    <w:rsid w:val="431A0DA0"/>
    <w:rsid w:val="432420D5"/>
    <w:rsid w:val="434043C1"/>
    <w:rsid w:val="43583825"/>
    <w:rsid w:val="436914E0"/>
    <w:rsid w:val="43693AC9"/>
    <w:rsid w:val="436954DF"/>
    <w:rsid w:val="43813AFA"/>
    <w:rsid w:val="43896EB7"/>
    <w:rsid w:val="43972F54"/>
    <w:rsid w:val="43AC2FBD"/>
    <w:rsid w:val="43AD295B"/>
    <w:rsid w:val="43B04625"/>
    <w:rsid w:val="43BC0D94"/>
    <w:rsid w:val="43BF63F2"/>
    <w:rsid w:val="43C551D5"/>
    <w:rsid w:val="43D6529F"/>
    <w:rsid w:val="43F44820"/>
    <w:rsid w:val="43F46B0E"/>
    <w:rsid w:val="43F66819"/>
    <w:rsid w:val="43FF0ABF"/>
    <w:rsid w:val="441D78FE"/>
    <w:rsid w:val="442450AD"/>
    <w:rsid w:val="445F2662"/>
    <w:rsid w:val="44723609"/>
    <w:rsid w:val="44756DEB"/>
    <w:rsid w:val="448C5174"/>
    <w:rsid w:val="44952EC0"/>
    <w:rsid w:val="44A82B5E"/>
    <w:rsid w:val="44AA2553"/>
    <w:rsid w:val="44BF09B5"/>
    <w:rsid w:val="44C1472D"/>
    <w:rsid w:val="44C309D4"/>
    <w:rsid w:val="44CB1081"/>
    <w:rsid w:val="44CB2E63"/>
    <w:rsid w:val="44F452E7"/>
    <w:rsid w:val="44F65616"/>
    <w:rsid w:val="45050601"/>
    <w:rsid w:val="450F35A5"/>
    <w:rsid w:val="451A7CF2"/>
    <w:rsid w:val="4535125F"/>
    <w:rsid w:val="453D7C38"/>
    <w:rsid w:val="454877CC"/>
    <w:rsid w:val="45623527"/>
    <w:rsid w:val="45662D2C"/>
    <w:rsid w:val="456E5C7B"/>
    <w:rsid w:val="45733D9A"/>
    <w:rsid w:val="458946EB"/>
    <w:rsid w:val="45957CE0"/>
    <w:rsid w:val="4599501F"/>
    <w:rsid w:val="45A2768A"/>
    <w:rsid w:val="45AA1482"/>
    <w:rsid w:val="45BA5DB6"/>
    <w:rsid w:val="45C025A5"/>
    <w:rsid w:val="45D4268A"/>
    <w:rsid w:val="45DD5A2E"/>
    <w:rsid w:val="45DE0C11"/>
    <w:rsid w:val="45DF06F9"/>
    <w:rsid w:val="45E267D7"/>
    <w:rsid w:val="45E73466"/>
    <w:rsid w:val="45F51D2B"/>
    <w:rsid w:val="45F754D2"/>
    <w:rsid w:val="45FB293A"/>
    <w:rsid w:val="4602259A"/>
    <w:rsid w:val="46160054"/>
    <w:rsid w:val="46166DF4"/>
    <w:rsid w:val="46245D10"/>
    <w:rsid w:val="462A02C4"/>
    <w:rsid w:val="463644CA"/>
    <w:rsid w:val="46400240"/>
    <w:rsid w:val="465945A0"/>
    <w:rsid w:val="466811E3"/>
    <w:rsid w:val="466A327F"/>
    <w:rsid w:val="466D343B"/>
    <w:rsid w:val="467B40E9"/>
    <w:rsid w:val="46863016"/>
    <w:rsid w:val="469546D2"/>
    <w:rsid w:val="469D4254"/>
    <w:rsid w:val="46A344E1"/>
    <w:rsid w:val="46B07584"/>
    <w:rsid w:val="46BF4203"/>
    <w:rsid w:val="46C87A60"/>
    <w:rsid w:val="46F124E0"/>
    <w:rsid w:val="46F43486"/>
    <w:rsid w:val="47060B1D"/>
    <w:rsid w:val="47091F93"/>
    <w:rsid w:val="470D1599"/>
    <w:rsid w:val="470D4C23"/>
    <w:rsid w:val="470D7271"/>
    <w:rsid w:val="472C78E4"/>
    <w:rsid w:val="4732010F"/>
    <w:rsid w:val="473216CC"/>
    <w:rsid w:val="47324A09"/>
    <w:rsid w:val="47354F5E"/>
    <w:rsid w:val="47490C0E"/>
    <w:rsid w:val="47575FB6"/>
    <w:rsid w:val="477414A2"/>
    <w:rsid w:val="477D3057"/>
    <w:rsid w:val="47853CDF"/>
    <w:rsid w:val="47924AE8"/>
    <w:rsid w:val="47BA5463"/>
    <w:rsid w:val="47BD5556"/>
    <w:rsid w:val="47D267D9"/>
    <w:rsid w:val="47D367F7"/>
    <w:rsid w:val="47E4034A"/>
    <w:rsid w:val="47E6007D"/>
    <w:rsid w:val="47FC6053"/>
    <w:rsid w:val="480037BE"/>
    <w:rsid w:val="480E7A1C"/>
    <w:rsid w:val="482C19F1"/>
    <w:rsid w:val="483403C8"/>
    <w:rsid w:val="48500BD1"/>
    <w:rsid w:val="4854337F"/>
    <w:rsid w:val="48564AB5"/>
    <w:rsid w:val="4857768A"/>
    <w:rsid w:val="48757D08"/>
    <w:rsid w:val="488011D6"/>
    <w:rsid w:val="4881390F"/>
    <w:rsid w:val="488271E7"/>
    <w:rsid w:val="488440D0"/>
    <w:rsid w:val="48A8579A"/>
    <w:rsid w:val="48BA456B"/>
    <w:rsid w:val="48C6026C"/>
    <w:rsid w:val="48C7292D"/>
    <w:rsid w:val="48D34F78"/>
    <w:rsid w:val="490C21AE"/>
    <w:rsid w:val="49114C6F"/>
    <w:rsid w:val="4960633D"/>
    <w:rsid w:val="496F63EB"/>
    <w:rsid w:val="49754CBC"/>
    <w:rsid w:val="4994270A"/>
    <w:rsid w:val="499E7CC2"/>
    <w:rsid w:val="49A20E1C"/>
    <w:rsid w:val="49B7121A"/>
    <w:rsid w:val="49B7546B"/>
    <w:rsid w:val="49C92EA5"/>
    <w:rsid w:val="49CF169A"/>
    <w:rsid w:val="49D32696"/>
    <w:rsid w:val="49E81713"/>
    <w:rsid w:val="49E848CB"/>
    <w:rsid w:val="49F23FB0"/>
    <w:rsid w:val="49F44958"/>
    <w:rsid w:val="49F46F89"/>
    <w:rsid w:val="49F52B99"/>
    <w:rsid w:val="4A123046"/>
    <w:rsid w:val="4A152AC8"/>
    <w:rsid w:val="4A17403B"/>
    <w:rsid w:val="4A2E2A07"/>
    <w:rsid w:val="4A2F038B"/>
    <w:rsid w:val="4A3745AB"/>
    <w:rsid w:val="4A3B288C"/>
    <w:rsid w:val="4A3F43C7"/>
    <w:rsid w:val="4A400AF8"/>
    <w:rsid w:val="4A477575"/>
    <w:rsid w:val="4A5B0AB0"/>
    <w:rsid w:val="4A6031BB"/>
    <w:rsid w:val="4A630034"/>
    <w:rsid w:val="4A666546"/>
    <w:rsid w:val="4A676B86"/>
    <w:rsid w:val="4A6A484B"/>
    <w:rsid w:val="4A6C0E9C"/>
    <w:rsid w:val="4A745541"/>
    <w:rsid w:val="4A932C4E"/>
    <w:rsid w:val="4AAC785B"/>
    <w:rsid w:val="4AAE7501"/>
    <w:rsid w:val="4AB22089"/>
    <w:rsid w:val="4AB95149"/>
    <w:rsid w:val="4ABB3CE6"/>
    <w:rsid w:val="4AD6435A"/>
    <w:rsid w:val="4ADC4E4E"/>
    <w:rsid w:val="4AF073F3"/>
    <w:rsid w:val="4AF52CB6"/>
    <w:rsid w:val="4B054C48"/>
    <w:rsid w:val="4B065F7E"/>
    <w:rsid w:val="4B086D33"/>
    <w:rsid w:val="4B0A4A77"/>
    <w:rsid w:val="4B1C6294"/>
    <w:rsid w:val="4B252792"/>
    <w:rsid w:val="4B253B10"/>
    <w:rsid w:val="4B27013B"/>
    <w:rsid w:val="4B392D43"/>
    <w:rsid w:val="4B4B55E1"/>
    <w:rsid w:val="4B6B4C5C"/>
    <w:rsid w:val="4B6C62A3"/>
    <w:rsid w:val="4B8C0210"/>
    <w:rsid w:val="4B943F2D"/>
    <w:rsid w:val="4B9E4651"/>
    <w:rsid w:val="4BB4567D"/>
    <w:rsid w:val="4BD63E99"/>
    <w:rsid w:val="4BDB0FE7"/>
    <w:rsid w:val="4BE6337E"/>
    <w:rsid w:val="4BFF4154"/>
    <w:rsid w:val="4C08049F"/>
    <w:rsid w:val="4C124C33"/>
    <w:rsid w:val="4C1600B8"/>
    <w:rsid w:val="4C4E2FB7"/>
    <w:rsid w:val="4C53346E"/>
    <w:rsid w:val="4C552D17"/>
    <w:rsid w:val="4C592C74"/>
    <w:rsid w:val="4C7504AB"/>
    <w:rsid w:val="4C88191F"/>
    <w:rsid w:val="4C952BE9"/>
    <w:rsid w:val="4C9C4DE2"/>
    <w:rsid w:val="4CC03D69"/>
    <w:rsid w:val="4CC74E57"/>
    <w:rsid w:val="4CD8524E"/>
    <w:rsid w:val="4CDE55AA"/>
    <w:rsid w:val="4CEB6CBA"/>
    <w:rsid w:val="4CFC3631"/>
    <w:rsid w:val="4D021689"/>
    <w:rsid w:val="4D25777D"/>
    <w:rsid w:val="4D2D37B7"/>
    <w:rsid w:val="4D3129B2"/>
    <w:rsid w:val="4D537DBA"/>
    <w:rsid w:val="4D657187"/>
    <w:rsid w:val="4D6B31FF"/>
    <w:rsid w:val="4D852A17"/>
    <w:rsid w:val="4D8B4D45"/>
    <w:rsid w:val="4D8F1872"/>
    <w:rsid w:val="4D9C0776"/>
    <w:rsid w:val="4DB24218"/>
    <w:rsid w:val="4DB846C1"/>
    <w:rsid w:val="4DD01C19"/>
    <w:rsid w:val="4DD60965"/>
    <w:rsid w:val="4DE32B93"/>
    <w:rsid w:val="4DE43B11"/>
    <w:rsid w:val="4DF6180F"/>
    <w:rsid w:val="4DF6309A"/>
    <w:rsid w:val="4DF6683C"/>
    <w:rsid w:val="4DFD37AB"/>
    <w:rsid w:val="4E067DDA"/>
    <w:rsid w:val="4E0E4635"/>
    <w:rsid w:val="4E1F2469"/>
    <w:rsid w:val="4E272868"/>
    <w:rsid w:val="4E306FD0"/>
    <w:rsid w:val="4E454A7E"/>
    <w:rsid w:val="4E504745"/>
    <w:rsid w:val="4E535709"/>
    <w:rsid w:val="4E571005"/>
    <w:rsid w:val="4E62560A"/>
    <w:rsid w:val="4E6631BA"/>
    <w:rsid w:val="4E723888"/>
    <w:rsid w:val="4E756A31"/>
    <w:rsid w:val="4E7D2319"/>
    <w:rsid w:val="4E7D28ED"/>
    <w:rsid w:val="4E95567F"/>
    <w:rsid w:val="4E996068"/>
    <w:rsid w:val="4E9A2E03"/>
    <w:rsid w:val="4E9B5EB5"/>
    <w:rsid w:val="4EB4389B"/>
    <w:rsid w:val="4EB72926"/>
    <w:rsid w:val="4EC13581"/>
    <w:rsid w:val="4ED94952"/>
    <w:rsid w:val="4EDD66DD"/>
    <w:rsid w:val="4EDF4B21"/>
    <w:rsid w:val="4EFB2470"/>
    <w:rsid w:val="4F006279"/>
    <w:rsid w:val="4F0E779E"/>
    <w:rsid w:val="4F0F6059"/>
    <w:rsid w:val="4F21043C"/>
    <w:rsid w:val="4F2F145C"/>
    <w:rsid w:val="4F3F18CC"/>
    <w:rsid w:val="4F475622"/>
    <w:rsid w:val="4F476B72"/>
    <w:rsid w:val="4F4D6762"/>
    <w:rsid w:val="4F7E22F0"/>
    <w:rsid w:val="4F9018A8"/>
    <w:rsid w:val="4FA81FB4"/>
    <w:rsid w:val="4FB82471"/>
    <w:rsid w:val="4FBF01C3"/>
    <w:rsid w:val="4FCB476B"/>
    <w:rsid w:val="4FD64B26"/>
    <w:rsid w:val="4FE45BAB"/>
    <w:rsid w:val="4FE747BC"/>
    <w:rsid w:val="4FED21EC"/>
    <w:rsid w:val="4FF755DD"/>
    <w:rsid w:val="4FFF304C"/>
    <w:rsid w:val="50165EC7"/>
    <w:rsid w:val="50177E39"/>
    <w:rsid w:val="501D2962"/>
    <w:rsid w:val="50272414"/>
    <w:rsid w:val="5029416F"/>
    <w:rsid w:val="502B4785"/>
    <w:rsid w:val="504548B0"/>
    <w:rsid w:val="504D22C4"/>
    <w:rsid w:val="504F7342"/>
    <w:rsid w:val="50594AC7"/>
    <w:rsid w:val="505C4B1C"/>
    <w:rsid w:val="505D5745"/>
    <w:rsid w:val="5074454F"/>
    <w:rsid w:val="5080338C"/>
    <w:rsid w:val="509040E4"/>
    <w:rsid w:val="50A82C45"/>
    <w:rsid w:val="50B10BF8"/>
    <w:rsid w:val="50C50634"/>
    <w:rsid w:val="50C56F89"/>
    <w:rsid w:val="50CE1134"/>
    <w:rsid w:val="50D249EA"/>
    <w:rsid w:val="50D650BC"/>
    <w:rsid w:val="50DD31D0"/>
    <w:rsid w:val="50E21165"/>
    <w:rsid w:val="50E73520"/>
    <w:rsid w:val="50EF2C09"/>
    <w:rsid w:val="50FC03FD"/>
    <w:rsid w:val="50FF6467"/>
    <w:rsid w:val="51022355"/>
    <w:rsid w:val="510E088A"/>
    <w:rsid w:val="510E3DCA"/>
    <w:rsid w:val="519206F3"/>
    <w:rsid w:val="51976B19"/>
    <w:rsid w:val="51AC52D4"/>
    <w:rsid w:val="51C0778B"/>
    <w:rsid w:val="51D535C6"/>
    <w:rsid w:val="51D72706"/>
    <w:rsid w:val="51DE3DB4"/>
    <w:rsid w:val="51E50255"/>
    <w:rsid w:val="51F55B4C"/>
    <w:rsid w:val="51FE6462"/>
    <w:rsid w:val="52034AAA"/>
    <w:rsid w:val="52094993"/>
    <w:rsid w:val="521A2DE4"/>
    <w:rsid w:val="523E71B7"/>
    <w:rsid w:val="524116C2"/>
    <w:rsid w:val="52474F39"/>
    <w:rsid w:val="524C2BF0"/>
    <w:rsid w:val="525E0C0B"/>
    <w:rsid w:val="52626280"/>
    <w:rsid w:val="527C6137"/>
    <w:rsid w:val="52877021"/>
    <w:rsid w:val="52B03135"/>
    <w:rsid w:val="52B64F55"/>
    <w:rsid w:val="52BE04F9"/>
    <w:rsid w:val="52D3445C"/>
    <w:rsid w:val="52D9014C"/>
    <w:rsid w:val="52E52351"/>
    <w:rsid w:val="52EF6D32"/>
    <w:rsid w:val="52F1545B"/>
    <w:rsid w:val="52FA5E21"/>
    <w:rsid w:val="530131F6"/>
    <w:rsid w:val="53072407"/>
    <w:rsid w:val="531327F1"/>
    <w:rsid w:val="53182DE4"/>
    <w:rsid w:val="532D326F"/>
    <w:rsid w:val="532F1FAC"/>
    <w:rsid w:val="5333589E"/>
    <w:rsid w:val="53365CB7"/>
    <w:rsid w:val="5338023C"/>
    <w:rsid w:val="533B4F69"/>
    <w:rsid w:val="53534608"/>
    <w:rsid w:val="535F73A9"/>
    <w:rsid w:val="5382152B"/>
    <w:rsid w:val="5388056F"/>
    <w:rsid w:val="53883552"/>
    <w:rsid w:val="53924AEE"/>
    <w:rsid w:val="539758FA"/>
    <w:rsid w:val="539C55CC"/>
    <w:rsid w:val="53A179B7"/>
    <w:rsid w:val="53B074C1"/>
    <w:rsid w:val="53B528C3"/>
    <w:rsid w:val="53C70512"/>
    <w:rsid w:val="53C859F6"/>
    <w:rsid w:val="53CE4047"/>
    <w:rsid w:val="53E9383F"/>
    <w:rsid w:val="54006E1F"/>
    <w:rsid w:val="54017857"/>
    <w:rsid w:val="541778C9"/>
    <w:rsid w:val="54436123"/>
    <w:rsid w:val="5455065A"/>
    <w:rsid w:val="5467093A"/>
    <w:rsid w:val="5476494D"/>
    <w:rsid w:val="5479256D"/>
    <w:rsid w:val="54794170"/>
    <w:rsid w:val="54832F16"/>
    <w:rsid w:val="548D25DB"/>
    <w:rsid w:val="54974991"/>
    <w:rsid w:val="54BC3B54"/>
    <w:rsid w:val="54F5777E"/>
    <w:rsid w:val="54FD0B2C"/>
    <w:rsid w:val="55043D10"/>
    <w:rsid w:val="55075D1C"/>
    <w:rsid w:val="550851FE"/>
    <w:rsid w:val="550C5DE7"/>
    <w:rsid w:val="551F340A"/>
    <w:rsid w:val="5522092E"/>
    <w:rsid w:val="5526517E"/>
    <w:rsid w:val="553036EB"/>
    <w:rsid w:val="553944B8"/>
    <w:rsid w:val="553E4B75"/>
    <w:rsid w:val="554102FE"/>
    <w:rsid w:val="5544674D"/>
    <w:rsid w:val="554F2F76"/>
    <w:rsid w:val="55507783"/>
    <w:rsid w:val="55531CF1"/>
    <w:rsid w:val="55533A85"/>
    <w:rsid w:val="555E49BE"/>
    <w:rsid w:val="556B04D1"/>
    <w:rsid w:val="55754408"/>
    <w:rsid w:val="557A0379"/>
    <w:rsid w:val="55834D40"/>
    <w:rsid w:val="55843EF1"/>
    <w:rsid w:val="55877C04"/>
    <w:rsid w:val="558D7748"/>
    <w:rsid w:val="558F3AD9"/>
    <w:rsid w:val="5590041C"/>
    <w:rsid w:val="55994DF8"/>
    <w:rsid w:val="55AB2237"/>
    <w:rsid w:val="55B633E0"/>
    <w:rsid w:val="55BB0C21"/>
    <w:rsid w:val="55D0622E"/>
    <w:rsid w:val="55D10816"/>
    <w:rsid w:val="55E87F63"/>
    <w:rsid w:val="55EA33B8"/>
    <w:rsid w:val="55F7747B"/>
    <w:rsid w:val="55FB5B5E"/>
    <w:rsid w:val="55FF3E45"/>
    <w:rsid w:val="560357CF"/>
    <w:rsid w:val="56095D19"/>
    <w:rsid w:val="56251331"/>
    <w:rsid w:val="56332D20"/>
    <w:rsid w:val="56373233"/>
    <w:rsid w:val="56374EC7"/>
    <w:rsid w:val="56432621"/>
    <w:rsid w:val="56591F76"/>
    <w:rsid w:val="56656FF4"/>
    <w:rsid w:val="5667164D"/>
    <w:rsid w:val="568230D3"/>
    <w:rsid w:val="568A7075"/>
    <w:rsid w:val="568E34FE"/>
    <w:rsid w:val="56986F03"/>
    <w:rsid w:val="569D2BA0"/>
    <w:rsid w:val="56AB4556"/>
    <w:rsid w:val="56CC6564"/>
    <w:rsid w:val="56CF015D"/>
    <w:rsid w:val="56DD49F2"/>
    <w:rsid w:val="56F20092"/>
    <w:rsid w:val="56F30A51"/>
    <w:rsid w:val="57053584"/>
    <w:rsid w:val="5705588E"/>
    <w:rsid w:val="57150A5B"/>
    <w:rsid w:val="57176559"/>
    <w:rsid w:val="571A250A"/>
    <w:rsid w:val="571E3F53"/>
    <w:rsid w:val="573374A0"/>
    <w:rsid w:val="573B0AAE"/>
    <w:rsid w:val="57435475"/>
    <w:rsid w:val="57467EA7"/>
    <w:rsid w:val="574F4BF8"/>
    <w:rsid w:val="57545063"/>
    <w:rsid w:val="575A132C"/>
    <w:rsid w:val="57622109"/>
    <w:rsid w:val="5770116B"/>
    <w:rsid w:val="577A5BFA"/>
    <w:rsid w:val="5788042D"/>
    <w:rsid w:val="57892DFF"/>
    <w:rsid w:val="57953F4A"/>
    <w:rsid w:val="579B3F11"/>
    <w:rsid w:val="57CB726F"/>
    <w:rsid w:val="57D75FE5"/>
    <w:rsid w:val="58583E62"/>
    <w:rsid w:val="585F3117"/>
    <w:rsid w:val="585F61AA"/>
    <w:rsid w:val="58644A94"/>
    <w:rsid w:val="5866288D"/>
    <w:rsid w:val="58690D4B"/>
    <w:rsid w:val="58720E87"/>
    <w:rsid w:val="587B3F3B"/>
    <w:rsid w:val="589046EA"/>
    <w:rsid w:val="58951669"/>
    <w:rsid w:val="589A2684"/>
    <w:rsid w:val="58A22CEB"/>
    <w:rsid w:val="58A95182"/>
    <w:rsid w:val="58B36849"/>
    <w:rsid w:val="58B718A7"/>
    <w:rsid w:val="58CE143B"/>
    <w:rsid w:val="58D649CB"/>
    <w:rsid w:val="58FE4FBD"/>
    <w:rsid w:val="590602D4"/>
    <w:rsid w:val="590773B0"/>
    <w:rsid w:val="590D379A"/>
    <w:rsid w:val="591A00A7"/>
    <w:rsid w:val="592163FB"/>
    <w:rsid w:val="59367040"/>
    <w:rsid w:val="593D5DC6"/>
    <w:rsid w:val="59471FAF"/>
    <w:rsid w:val="5958639F"/>
    <w:rsid w:val="599A226E"/>
    <w:rsid w:val="59A33EC7"/>
    <w:rsid w:val="59C12865"/>
    <w:rsid w:val="59C7757C"/>
    <w:rsid w:val="59C77E38"/>
    <w:rsid w:val="59C97E13"/>
    <w:rsid w:val="59F4034E"/>
    <w:rsid w:val="5A022BB9"/>
    <w:rsid w:val="5A1B5021"/>
    <w:rsid w:val="5A1C249F"/>
    <w:rsid w:val="5A1E49D9"/>
    <w:rsid w:val="5A327FE2"/>
    <w:rsid w:val="5A36044C"/>
    <w:rsid w:val="5A440164"/>
    <w:rsid w:val="5A5169B6"/>
    <w:rsid w:val="5A626F80"/>
    <w:rsid w:val="5A7B1893"/>
    <w:rsid w:val="5A857AEA"/>
    <w:rsid w:val="5AA55F26"/>
    <w:rsid w:val="5AB61268"/>
    <w:rsid w:val="5ADA0422"/>
    <w:rsid w:val="5ADF2147"/>
    <w:rsid w:val="5AE3284A"/>
    <w:rsid w:val="5AF31157"/>
    <w:rsid w:val="5B0D627E"/>
    <w:rsid w:val="5B481C7B"/>
    <w:rsid w:val="5B494EF7"/>
    <w:rsid w:val="5B4B48F9"/>
    <w:rsid w:val="5B4F198C"/>
    <w:rsid w:val="5B5625CC"/>
    <w:rsid w:val="5B6D2EBD"/>
    <w:rsid w:val="5B8D27BB"/>
    <w:rsid w:val="5B987726"/>
    <w:rsid w:val="5B9D33F9"/>
    <w:rsid w:val="5BA43F0B"/>
    <w:rsid w:val="5BBF06E3"/>
    <w:rsid w:val="5BDA67B3"/>
    <w:rsid w:val="5BE45C49"/>
    <w:rsid w:val="5BEB4565"/>
    <w:rsid w:val="5BF02CE6"/>
    <w:rsid w:val="5BF314FE"/>
    <w:rsid w:val="5BF6150B"/>
    <w:rsid w:val="5BF87388"/>
    <w:rsid w:val="5BFB1835"/>
    <w:rsid w:val="5C0C4088"/>
    <w:rsid w:val="5C114269"/>
    <w:rsid w:val="5C170C07"/>
    <w:rsid w:val="5C2975C9"/>
    <w:rsid w:val="5C2E275B"/>
    <w:rsid w:val="5C2E76CE"/>
    <w:rsid w:val="5C3630AD"/>
    <w:rsid w:val="5C3B5899"/>
    <w:rsid w:val="5C484C85"/>
    <w:rsid w:val="5C52658D"/>
    <w:rsid w:val="5C5525A0"/>
    <w:rsid w:val="5C604B92"/>
    <w:rsid w:val="5C65753C"/>
    <w:rsid w:val="5C844BCC"/>
    <w:rsid w:val="5C924740"/>
    <w:rsid w:val="5C9A6952"/>
    <w:rsid w:val="5C9D5051"/>
    <w:rsid w:val="5CA15766"/>
    <w:rsid w:val="5CB14BAA"/>
    <w:rsid w:val="5CC30698"/>
    <w:rsid w:val="5CC40E46"/>
    <w:rsid w:val="5CC913D8"/>
    <w:rsid w:val="5CC94099"/>
    <w:rsid w:val="5CFA7723"/>
    <w:rsid w:val="5D0C1CAC"/>
    <w:rsid w:val="5D113626"/>
    <w:rsid w:val="5D1269FF"/>
    <w:rsid w:val="5D197AA0"/>
    <w:rsid w:val="5D1F6245"/>
    <w:rsid w:val="5D4C6871"/>
    <w:rsid w:val="5D4E069C"/>
    <w:rsid w:val="5D5342FE"/>
    <w:rsid w:val="5D550490"/>
    <w:rsid w:val="5D574034"/>
    <w:rsid w:val="5D5E3109"/>
    <w:rsid w:val="5D746B2A"/>
    <w:rsid w:val="5DB8015E"/>
    <w:rsid w:val="5DBF6E7E"/>
    <w:rsid w:val="5DCD78E0"/>
    <w:rsid w:val="5DE30D80"/>
    <w:rsid w:val="5DE454B8"/>
    <w:rsid w:val="5DEE308E"/>
    <w:rsid w:val="5DFE0DE6"/>
    <w:rsid w:val="5E0A6BB3"/>
    <w:rsid w:val="5E330476"/>
    <w:rsid w:val="5E350CC6"/>
    <w:rsid w:val="5E4216BB"/>
    <w:rsid w:val="5E525182"/>
    <w:rsid w:val="5E6529AD"/>
    <w:rsid w:val="5E766E08"/>
    <w:rsid w:val="5E854AB9"/>
    <w:rsid w:val="5E9A15E9"/>
    <w:rsid w:val="5E9E22DD"/>
    <w:rsid w:val="5EA62268"/>
    <w:rsid w:val="5EBB5FD2"/>
    <w:rsid w:val="5ED0246B"/>
    <w:rsid w:val="5EE4247A"/>
    <w:rsid w:val="5EE57D86"/>
    <w:rsid w:val="5F1F33BD"/>
    <w:rsid w:val="5F2C205E"/>
    <w:rsid w:val="5F314627"/>
    <w:rsid w:val="5F3445C6"/>
    <w:rsid w:val="5F421252"/>
    <w:rsid w:val="5F760FD3"/>
    <w:rsid w:val="5F7A446F"/>
    <w:rsid w:val="5F8A2593"/>
    <w:rsid w:val="5F920998"/>
    <w:rsid w:val="5F9334EB"/>
    <w:rsid w:val="5FB93C29"/>
    <w:rsid w:val="5FD4310E"/>
    <w:rsid w:val="5FE169D1"/>
    <w:rsid w:val="5FE16DB3"/>
    <w:rsid w:val="5FE95D2E"/>
    <w:rsid w:val="5FEB479F"/>
    <w:rsid w:val="5FEC2774"/>
    <w:rsid w:val="5FED2E15"/>
    <w:rsid w:val="601517A3"/>
    <w:rsid w:val="60197C7E"/>
    <w:rsid w:val="601D3B97"/>
    <w:rsid w:val="60266763"/>
    <w:rsid w:val="604031F7"/>
    <w:rsid w:val="60517BBA"/>
    <w:rsid w:val="60721395"/>
    <w:rsid w:val="6074225E"/>
    <w:rsid w:val="60A60BEF"/>
    <w:rsid w:val="60C101CA"/>
    <w:rsid w:val="60C85587"/>
    <w:rsid w:val="60CA7DA0"/>
    <w:rsid w:val="60D67541"/>
    <w:rsid w:val="60D833C2"/>
    <w:rsid w:val="60F13E1E"/>
    <w:rsid w:val="60F64524"/>
    <w:rsid w:val="61095C50"/>
    <w:rsid w:val="610C4B2A"/>
    <w:rsid w:val="611E36B8"/>
    <w:rsid w:val="61306B55"/>
    <w:rsid w:val="61754248"/>
    <w:rsid w:val="617E4C34"/>
    <w:rsid w:val="618858A0"/>
    <w:rsid w:val="618C71CD"/>
    <w:rsid w:val="618D5C1D"/>
    <w:rsid w:val="61A83537"/>
    <w:rsid w:val="61AF39C8"/>
    <w:rsid w:val="61B74F91"/>
    <w:rsid w:val="61E15FB7"/>
    <w:rsid w:val="61E93BA8"/>
    <w:rsid w:val="62025D56"/>
    <w:rsid w:val="62054DAB"/>
    <w:rsid w:val="62091342"/>
    <w:rsid w:val="62161C69"/>
    <w:rsid w:val="623368BF"/>
    <w:rsid w:val="623B0EAB"/>
    <w:rsid w:val="623D50E6"/>
    <w:rsid w:val="62576A2B"/>
    <w:rsid w:val="625E1DF1"/>
    <w:rsid w:val="626B43B3"/>
    <w:rsid w:val="6271512D"/>
    <w:rsid w:val="627D22D5"/>
    <w:rsid w:val="62821AAC"/>
    <w:rsid w:val="62886CA6"/>
    <w:rsid w:val="62895C90"/>
    <w:rsid w:val="629346A1"/>
    <w:rsid w:val="629B332C"/>
    <w:rsid w:val="62A855B7"/>
    <w:rsid w:val="62AE08A9"/>
    <w:rsid w:val="62AF1619"/>
    <w:rsid w:val="62BB18B7"/>
    <w:rsid w:val="62BF7089"/>
    <w:rsid w:val="62E92221"/>
    <w:rsid w:val="62FB09B2"/>
    <w:rsid w:val="62FD734B"/>
    <w:rsid w:val="630A7088"/>
    <w:rsid w:val="630B22AC"/>
    <w:rsid w:val="63257CEC"/>
    <w:rsid w:val="633E0BD3"/>
    <w:rsid w:val="63443443"/>
    <w:rsid w:val="634B73D1"/>
    <w:rsid w:val="634C22A3"/>
    <w:rsid w:val="634C73BF"/>
    <w:rsid w:val="635B185C"/>
    <w:rsid w:val="635E2EA2"/>
    <w:rsid w:val="63730DAC"/>
    <w:rsid w:val="63774709"/>
    <w:rsid w:val="63784EFC"/>
    <w:rsid w:val="63861553"/>
    <w:rsid w:val="638737E4"/>
    <w:rsid w:val="6388493C"/>
    <w:rsid w:val="6389663A"/>
    <w:rsid w:val="638F30AD"/>
    <w:rsid w:val="639B6E4B"/>
    <w:rsid w:val="63A87CFD"/>
    <w:rsid w:val="63B1661C"/>
    <w:rsid w:val="63B41A70"/>
    <w:rsid w:val="63B8389A"/>
    <w:rsid w:val="63BD5696"/>
    <w:rsid w:val="63C15609"/>
    <w:rsid w:val="63C62E3A"/>
    <w:rsid w:val="63CD7E45"/>
    <w:rsid w:val="63D042C6"/>
    <w:rsid w:val="63DA74E1"/>
    <w:rsid w:val="63E01DD4"/>
    <w:rsid w:val="63F4582A"/>
    <w:rsid w:val="64126B67"/>
    <w:rsid w:val="641805BE"/>
    <w:rsid w:val="641F126F"/>
    <w:rsid w:val="64446C2D"/>
    <w:rsid w:val="64503D1C"/>
    <w:rsid w:val="64560F24"/>
    <w:rsid w:val="64580E7D"/>
    <w:rsid w:val="645A23EF"/>
    <w:rsid w:val="645E0B6A"/>
    <w:rsid w:val="646114C1"/>
    <w:rsid w:val="64690D2B"/>
    <w:rsid w:val="646D7EFE"/>
    <w:rsid w:val="647B4940"/>
    <w:rsid w:val="64822965"/>
    <w:rsid w:val="6483738F"/>
    <w:rsid w:val="64906592"/>
    <w:rsid w:val="649178B0"/>
    <w:rsid w:val="64DB58A1"/>
    <w:rsid w:val="64E44B54"/>
    <w:rsid w:val="64F5292B"/>
    <w:rsid w:val="64FA7BF6"/>
    <w:rsid w:val="64FD36C5"/>
    <w:rsid w:val="651B7161"/>
    <w:rsid w:val="651D6D8A"/>
    <w:rsid w:val="65274D43"/>
    <w:rsid w:val="653B3026"/>
    <w:rsid w:val="65487FE7"/>
    <w:rsid w:val="654F44F8"/>
    <w:rsid w:val="65613BB6"/>
    <w:rsid w:val="65644B28"/>
    <w:rsid w:val="657045E4"/>
    <w:rsid w:val="65717B2F"/>
    <w:rsid w:val="657C6ED9"/>
    <w:rsid w:val="658A636F"/>
    <w:rsid w:val="65921147"/>
    <w:rsid w:val="65A175E8"/>
    <w:rsid w:val="65BE6C28"/>
    <w:rsid w:val="65BE6CFF"/>
    <w:rsid w:val="65C70ACD"/>
    <w:rsid w:val="65D74973"/>
    <w:rsid w:val="65E63DB9"/>
    <w:rsid w:val="663A0E6D"/>
    <w:rsid w:val="664D59C9"/>
    <w:rsid w:val="668114FE"/>
    <w:rsid w:val="66A32D5D"/>
    <w:rsid w:val="66AC1548"/>
    <w:rsid w:val="66B9088D"/>
    <w:rsid w:val="66BB3536"/>
    <w:rsid w:val="66D33064"/>
    <w:rsid w:val="66D460EA"/>
    <w:rsid w:val="66DB1226"/>
    <w:rsid w:val="66E005EB"/>
    <w:rsid w:val="66FC612C"/>
    <w:rsid w:val="67095D94"/>
    <w:rsid w:val="67097A84"/>
    <w:rsid w:val="671376B7"/>
    <w:rsid w:val="67167671"/>
    <w:rsid w:val="672E33A8"/>
    <w:rsid w:val="6733525A"/>
    <w:rsid w:val="6736413C"/>
    <w:rsid w:val="673E5A01"/>
    <w:rsid w:val="67443637"/>
    <w:rsid w:val="674A305A"/>
    <w:rsid w:val="67571449"/>
    <w:rsid w:val="67580AC9"/>
    <w:rsid w:val="675A2692"/>
    <w:rsid w:val="676B33A1"/>
    <w:rsid w:val="677E46CC"/>
    <w:rsid w:val="67995641"/>
    <w:rsid w:val="679B7D49"/>
    <w:rsid w:val="67A20577"/>
    <w:rsid w:val="67A81BC5"/>
    <w:rsid w:val="67B20BA8"/>
    <w:rsid w:val="67B86507"/>
    <w:rsid w:val="67CA0450"/>
    <w:rsid w:val="67CE0D8B"/>
    <w:rsid w:val="67D51777"/>
    <w:rsid w:val="67EE6F4A"/>
    <w:rsid w:val="67FC3BE5"/>
    <w:rsid w:val="681E003D"/>
    <w:rsid w:val="68282239"/>
    <w:rsid w:val="684B7F35"/>
    <w:rsid w:val="684E66CC"/>
    <w:rsid w:val="68522BEC"/>
    <w:rsid w:val="685F7C35"/>
    <w:rsid w:val="686E09AC"/>
    <w:rsid w:val="688241B0"/>
    <w:rsid w:val="688649AB"/>
    <w:rsid w:val="688F0082"/>
    <w:rsid w:val="68AA2E69"/>
    <w:rsid w:val="68AE3AE8"/>
    <w:rsid w:val="68D063DE"/>
    <w:rsid w:val="68E646C3"/>
    <w:rsid w:val="68F7646F"/>
    <w:rsid w:val="68F94DBA"/>
    <w:rsid w:val="68FA528F"/>
    <w:rsid w:val="690C3B5B"/>
    <w:rsid w:val="69162F8B"/>
    <w:rsid w:val="691F1780"/>
    <w:rsid w:val="6928618E"/>
    <w:rsid w:val="694067E5"/>
    <w:rsid w:val="69430549"/>
    <w:rsid w:val="694F72C4"/>
    <w:rsid w:val="695D0E2D"/>
    <w:rsid w:val="695D6C57"/>
    <w:rsid w:val="695F39C1"/>
    <w:rsid w:val="698D29F4"/>
    <w:rsid w:val="699640CC"/>
    <w:rsid w:val="699B014F"/>
    <w:rsid w:val="69A76836"/>
    <w:rsid w:val="69AB325D"/>
    <w:rsid w:val="69B10E6F"/>
    <w:rsid w:val="69C018AF"/>
    <w:rsid w:val="69CA2B6B"/>
    <w:rsid w:val="69CB5F06"/>
    <w:rsid w:val="69CD40E0"/>
    <w:rsid w:val="69D227D1"/>
    <w:rsid w:val="69DD542E"/>
    <w:rsid w:val="69E30C0E"/>
    <w:rsid w:val="69EC349C"/>
    <w:rsid w:val="69FC575E"/>
    <w:rsid w:val="6A022956"/>
    <w:rsid w:val="6A2157D2"/>
    <w:rsid w:val="6A2D7966"/>
    <w:rsid w:val="6A312F27"/>
    <w:rsid w:val="6A3C29F3"/>
    <w:rsid w:val="6A44448D"/>
    <w:rsid w:val="6A635FBA"/>
    <w:rsid w:val="6A6A4012"/>
    <w:rsid w:val="6A6C3E38"/>
    <w:rsid w:val="6A79371B"/>
    <w:rsid w:val="6A8D1ABD"/>
    <w:rsid w:val="6A927F39"/>
    <w:rsid w:val="6AB17EB1"/>
    <w:rsid w:val="6ACA3A8C"/>
    <w:rsid w:val="6ACC5DB2"/>
    <w:rsid w:val="6AEF6940"/>
    <w:rsid w:val="6AFA78D8"/>
    <w:rsid w:val="6AFB632A"/>
    <w:rsid w:val="6AFE0BED"/>
    <w:rsid w:val="6B1821B8"/>
    <w:rsid w:val="6B287BA9"/>
    <w:rsid w:val="6B357712"/>
    <w:rsid w:val="6B395A3B"/>
    <w:rsid w:val="6B5D3467"/>
    <w:rsid w:val="6B6512AB"/>
    <w:rsid w:val="6B694C73"/>
    <w:rsid w:val="6B703B3C"/>
    <w:rsid w:val="6B815F6B"/>
    <w:rsid w:val="6BA20858"/>
    <w:rsid w:val="6BA5326F"/>
    <w:rsid w:val="6BAE5757"/>
    <w:rsid w:val="6BBB4E48"/>
    <w:rsid w:val="6BC26511"/>
    <w:rsid w:val="6BF9563C"/>
    <w:rsid w:val="6BFA6EB0"/>
    <w:rsid w:val="6C016C29"/>
    <w:rsid w:val="6C114233"/>
    <w:rsid w:val="6C222906"/>
    <w:rsid w:val="6C246164"/>
    <w:rsid w:val="6C3A5933"/>
    <w:rsid w:val="6C3E262A"/>
    <w:rsid w:val="6C456F8A"/>
    <w:rsid w:val="6C612439"/>
    <w:rsid w:val="6C732540"/>
    <w:rsid w:val="6C742AEE"/>
    <w:rsid w:val="6C851063"/>
    <w:rsid w:val="6C854F4B"/>
    <w:rsid w:val="6C955B86"/>
    <w:rsid w:val="6CA82DDE"/>
    <w:rsid w:val="6CAF1246"/>
    <w:rsid w:val="6CB3053A"/>
    <w:rsid w:val="6CD9603F"/>
    <w:rsid w:val="6CEB7991"/>
    <w:rsid w:val="6CEC1321"/>
    <w:rsid w:val="6D1337CD"/>
    <w:rsid w:val="6D190EBE"/>
    <w:rsid w:val="6D193BC2"/>
    <w:rsid w:val="6D194F46"/>
    <w:rsid w:val="6D213BE2"/>
    <w:rsid w:val="6D2C68D9"/>
    <w:rsid w:val="6D2F7973"/>
    <w:rsid w:val="6D3D599C"/>
    <w:rsid w:val="6D43704F"/>
    <w:rsid w:val="6D46283D"/>
    <w:rsid w:val="6D4D62AE"/>
    <w:rsid w:val="6D5A6635"/>
    <w:rsid w:val="6D5C1394"/>
    <w:rsid w:val="6D695D5F"/>
    <w:rsid w:val="6D8C4EC1"/>
    <w:rsid w:val="6D9577D1"/>
    <w:rsid w:val="6D97568C"/>
    <w:rsid w:val="6D985426"/>
    <w:rsid w:val="6D9E6C4B"/>
    <w:rsid w:val="6DAB33EB"/>
    <w:rsid w:val="6DB9436F"/>
    <w:rsid w:val="6DB95DBD"/>
    <w:rsid w:val="6DCE36BA"/>
    <w:rsid w:val="6DCE4F2F"/>
    <w:rsid w:val="6DD06906"/>
    <w:rsid w:val="6DD118B3"/>
    <w:rsid w:val="6DE337C8"/>
    <w:rsid w:val="6DEA1F05"/>
    <w:rsid w:val="6E061582"/>
    <w:rsid w:val="6E06434F"/>
    <w:rsid w:val="6E0729CC"/>
    <w:rsid w:val="6E0A6D86"/>
    <w:rsid w:val="6E101D0E"/>
    <w:rsid w:val="6E107D5D"/>
    <w:rsid w:val="6E1E53FF"/>
    <w:rsid w:val="6E1F3EDF"/>
    <w:rsid w:val="6E2A3D6F"/>
    <w:rsid w:val="6E2B4352"/>
    <w:rsid w:val="6E2E014B"/>
    <w:rsid w:val="6E3717CF"/>
    <w:rsid w:val="6E564233"/>
    <w:rsid w:val="6E5A3F5A"/>
    <w:rsid w:val="6E6E75BC"/>
    <w:rsid w:val="6E7D7FD0"/>
    <w:rsid w:val="6E860901"/>
    <w:rsid w:val="6E890D4F"/>
    <w:rsid w:val="6E893780"/>
    <w:rsid w:val="6E9A3775"/>
    <w:rsid w:val="6E9F4D48"/>
    <w:rsid w:val="6EC52E91"/>
    <w:rsid w:val="6EC67ECC"/>
    <w:rsid w:val="6EDB1760"/>
    <w:rsid w:val="6EDB390C"/>
    <w:rsid w:val="6EDE08CB"/>
    <w:rsid w:val="6EDE1EB6"/>
    <w:rsid w:val="6EDE2C4B"/>
    <w:rsid w:val="6EDF4758"/>
    <w:rsid w:val="6EFD3775"/>
    <w:rsid w:val="6F532F9A"/>
    <w:rsid w:val="6F5A722A"/>
    <w:rsid w:val="6F6442D3"/>
    <w:rsid w:val="6F6449B9"/>
    <w:rsid w:val="6F6D49E6"/>
    <w:rsid w:val="6F7B1BB7"/>
    <w:rsid w:val="6F7B4A2E"/>
    <w:rsid w:val="6F821EE0"/>
    <w:rsid w:val="6F86645F"/>
    <w:rsid w:val="6F975D70"/>
    <w:rsid w:val="6FA3252D"/>
    <w:rsid w:val="6FAC2233"/>
    <w:rsid w:val="6FAE41EA"/>
    <w:rsid w:val="6FB12369"/>
    <w:rsid w:val="6FD22559"/>
    <w:rsid w:val="6FEC3716"/>
    <w:rsid w:val="700C5EF7"/>
    <w:rsid w:val="701525CB"/>
    <w:rsid w:val="70194D30"/>
    <w:rsid w:val="70234776"/>
    <w:rsid w:val="70383ADC"/>
    <w:rsid w:val="703E442E"/>
    <w:rsid w:val="704972AC"/>
    <w:rsid w:val="70551280"/>
    <w:rsid w:val="70611A5B"/>
    <w:rsid w:val="70700B8D"/>
    <w:rsid w:val="70861438"/>
    <w:rsid w:val="7089608A"/>
    <w:rsid w:val="70945893"/>
    <w:rsid w:val="709A463B"/>
    <w:rsid w:val="70B977AF"/>
    <w:rsid w:val="70BE7FC5"/>
    <w:rsid w:val="70C13BBF"/>
    <w:rsid w:val="70D977B1"/>
    <w:rsid w:val="70E10B0A"/>
    <w:rsid w:val="70E219F4"/>
    <w:rsid w:val="70F00710"/>
    <w:rsid w:val="70F72171"/>
    <w:rsid w:val="70F9391F"/>
    <w:rsid w:val="70FC08F5"/>
    <w:rsid w:val="70FF2DB4"/>
    <w:rsid w:val="710B2325"/>
    <w:rsid w:val="711542F6"/>
    <w:rsid w:val="71216DF9"/>
    <w:rsid w:val="712F4456"/>
    <w:rsid w:val="713D07FB"/>
    <w:rsid w:val="714C4908"/>
    <w:rsid w:val="714D79D1"/>
    <w:rsid w:val="714E5E4D"/>
    <w:rsid w:val="715C751C"/>
    <w:rsid w:val="716667A8"/>
    <w:rsid w:val="71716C86"/>
    <w:rsid w:val="71805063"/>
    <w:rsid w:val="71873C73"/>
    <w:rsid w:val="71952D6B"/>
    <w:rsid w:val="71A10450"/>
    <w:rsid w:val="71AD0E39"/>
    <w:rsid w:val="71B11D50"/>
    <w:rsid w:val="71B26644"/>
    <w:rsid w:val="71B372B2"/>
    <w:rsid w:val="71BC60BA"/>
    <w:rsid w:val="71BD5AF8"/>
    <w:rsid w:val="71BE0265"/>
    <w:rsid w:val="71C264D0"/>
    <w:rsid w:val="71C93908"/>
    <w:rsid w:val="71CE4999"/>
    <w:rsid w:val="71E038DE"/>
    <w:rsid w:val="71F74C31"/>
    <w:rsid w:val="7202406C"/>
    <w:rsid w:val="720403CF"/>
    <w:rsid w:val="721B7CA5"/>
    <w:rsid w:val="723E32E1"/>
    <w:rsid w:val="724063E2"/>
    <w:rsid w:val="724C57BD"/>
    <w:rsid w:val="724D4FBB"/>
    <w:rsid w:val="72525277"/>
    <w:rsid w:val="726143B4"/>
    <w:rsid w:val="726D6519"/>
    <w:rsid w:val="72731745"/>
    <w:rsid w:val="72770332"/>
    <w:rsid w:val="72911DF0"/>
    <w:rsid w:val="72A2552A"/>
    <w:rsid w:val="72A97435"/>
    <w:rsid w:val="72AA38CB"/>
    <w:rsid w:val="72B428D0"/>
    <w:rsid w:val="72BD62BB"/>
    <w:rsid w:val="72C25779"/>
    <w:rsid w:val="72C3766D"/>
    <w:rsid w:val="72CA24C2"/>
    <w:rsid w:val="72D27190"/>
    <w:rsid w:val="72E80C29"/>
    <w:rsid w:val="72EA0278"/>
    <w:rsid w:val="72EA195A"/>
    <w:rsid w:val="72F1559A"/>
    <w:rsid w:val="72FF1D37"/>
    <w:rsid w:val="730409AF"/>
    <w:rsid w:val="730472AE"/>
    <w:rsid w:val="7323642D"/>
    <w:rsid w:val="733046A8"/>
    <w:rsid w:val="73467B8F"/>
    <w:rsid w:val="734F0B09"/>
    <w:rsid w:val="735611AF"/>
    <w:rsid w:val="735B4D0A"/>
    <w:rsid w:val="7360011E"/>
    <w:rsid w:val="736B2F8B"/>
    <w:rsid w:val="73965F88"/>
    <w:rsid w:val="73991A28"/>
    <w:rsid w:val="739E6AD8"/>
    <w:rsid w:val="73A106D0"/>
    <w:rsid w:val="73A90B1A"/>
    <w:rsid w:val="73BD28A5"/>
    <w:rsid w:val="73C3099B"/>
    <w:rsid w:val="73C966D1"/>
    <w:rsid w:val="73EA31B2"/>
    <w:rsid w:val="74110BB3"/>
    <w:rsid w:val="74170B22"/>
    <w:rsid w:val="741B4A7A"/>
    <w:rsid w:val="741B52A5"/>
    <w:rsid w:val="742431A7"/>
    <w:rsid w:val="744C3A55"/>
    <w:rsid w:val="746019A9"/>
    <w:rsid w:val="74851278"/>
    <w:rsid w:val="749018A2"/>
    <w:rsid w:val="749279F6"/>
    <w:rsid w:val="74A10536"/>
    <w:rsid w:val="74C96B62"/>
    <w:rsid w:val="74CA3EC5"/>
    <w:rsid w:val="74CB62AE"/>
    <w:rsid w:val="74D85480"/>
    <w:rsid w:val="74DA52B7"/>
    <w:rsid w:val="751507B4"/>
    <w:rsid w:val="751B0EC8"/>
    <w:rsid w:val="751D4C5C"/>
    <w:rsid w:val="752B78DD"/>
    <w:rsid w:val="752C35E7"/>
    <w:rsid w:val="753F4732"/>
    <w:rsid w:val="75423B02"/>
    <w:rsid w:val="754A081F"/>
    <w:rsid w:val="754B126A"/>
    <w:rsid w:val="754F35F0"/>
    <w:rsid w:val="755848C0"/>
    <w:rsid w:val="756B52DC"/>
    <w:rsid w:val="756E0C27"/>
    <w:rsid w:val="756E29FB"/>
    <w:rsid w:val="75776E0F"/>
    <w:rsid w:val="758C3F83"/>
    <w:rsid w:val="75A33CE8"/>
    <w:rsid w:val="75A42F9A"/>
    <w:rsid w:val="75AE167F"/>
    <w:rsid w:val="75B13277"/>
    <w:rsid w:val="75B17AC2"/>
    <w:rsid w:val="75B7204D"/>
    <w:rsid w:val="75BB0DE0"/>
    <w:rsid w:val="75BD2A45"/>
    <w:rsid w:val="75C00389"/>
    <w:rsid w:val="75C162F4"/>
    <w:rsid w:val="75CA7FC0"/>
    <w:rsid w:val="75D37B08"/>
    <w:rsid w:val="75D804A5"/>
    <w:rsid w:val="75DF6432"/>
    <w:rsid w:val="75E42EFA"/>
    <w:rsid w:val="75E550A6"/>
    <w:rsid w:val="75ED58F7"/>
    <w:rsid w:val="75EF25F8"/>
    <w:rsid w:val="75F86599"/>
    <w:rsid w:val="75FD412D"/>
    <w:rsid w:val="760307E0"/>
    <w:rsid w:val="760E738C"/>
    <w:rsid w:val="76122E61"/>
    <w:rsid w:val="76135DB8"/>
    <w:rsid w:val="761A56F3"/>
    <w:rsid w:val="762350FC"/>
    <w:rsid w:val="76281ACA"/>
    <w:rsid w:val="76434E90"/>
    <w:rsid w:val="76443B0C"/>
    <w:rsid w:val="766059A0"/>
    <w:rsid w:val="767508D3"/>
    <w:rsid w:val="76762BD8"/>
    <w:rsid w:val="767B3E8C"/>
    <w:rsid w:val="768D4C65"/>
    <w:rsid w:val="768D64F5"/>
    <w:rsid w:val="7693337F"/>
    <w:rsid w:val="76966390"/>
    <w:rsid w:val="769E2A32"/>
    <w:rsid w:val="76A00841"/>
    <w:rsid w:val="76A06461"/>
    <w:rsid w:val="76A17F8B"/>
    <w:rsid w:val="76A60936"/>
    <w:rsid w:val="76AA17F2"/>
    <w:rsid w:val="76B2376E"/>
    <w:rsid w:val="76C730C8"/>
    <w:rsid w:val="76C803BD"/>
    <w:rsid w:val="76CD0DC8"/>
    <w:rsid w:val="76D7791F"/>
    <w:rsid w:val="76DD141C"/>
    <w:rsid w:val="76F20AC1"/>
    <w:rsid w:val="76F64941"/>
    <w:rsid w:val="76FB0B3F"/>
    <w:rsid w:val="77176EAD"/>
    <w:rsid w:val="77331192"/>
    <w:rsid w:val="77397B6C"/>
    <w:rsid w:val="773C12AF"/>
    <w:rsid w:val="774702A5"/>
    <w:rsid w:val="77550BB8"/>
    <w:rsid w:val="77607470"/>
    <w:rsid w:val="777C5894"/>
    <w:rsid w:val="77824FDA"/>
    <w:rsid w:val="77935660"/>
    <w:rsid w:val="77A82D39"/>
    <w:rsid w:val="77B35BD2"/>
    <w:rsid w:val="77B82691"/>
    <w:rsid w:val="77C2195B"/>
    <w:rsid w:val="77D06D76"/>
    <w:rsid w:val="77DA3438"/>
    <w:rsid w:val="77DC4C69"/>
    <w:rsid w:val="77DC5F7D"/>
    <w:rsid w:val="77F47FB2"/>
    <w:rsid w:val="77FC364B"/>
    <w:rsid w:val="780072F3"/>
    <w:rsid w:val="78190931"/>
    <w:rsid w:val="781A4A6F"/>
    <w:rsid w:val="781B6DE4"/>
    <w:rsid w:val="781D5F98"/>
    <w:rsid w:val="78633974"/>
    <w:rsid w:val="786478EA"/>
    <w:rsid w:val="78686692"/>
    <w:rsid w:val="787562C4"/>
    <w:rsid w:val="787944D1"/>
    <w:rsid w:val="78947487"/>
    <w:rsid w:val="78970267"/>
    <w:rsid w:val="789B6E1B"/>
    <w:rsid w:val="789E3E62"/>
    <w:rsid w:val="78A63785"/>
    <w:rsid w:val="78AD7E6B"/>
    <w:rsid w:val="78B55896"/>
    <w:rsid w:val="78BD320B"/>
    <w:rsid w:val="78C15179"/>
    <w:rsid w:val="78CC27DF"/>
    <w:rsid w:val="78E1428A"/>
    <w:rsid w:val="78E5249E"/>
    <w:rsid w:val="78EB4F98"/>
    <w:rsid w:val="78F174E6"/>
    <w:rsid w:val="78F816F4"/>
    <w:rsid w:val="78F93DE4"/>
    <w:rsid w:val="79114B7F"/>
    <w:rsid w:val="79322F5E"/>
    <w:rsid w:val="793F2D44"/>
    <w:rsid w:val="79544E2C"/>
    <w:rsid w:val="795D279C"/>
    <w:rsid w:val="79630E72"/>
    <w:rsid w:val="7967142E"/>
    <w:rsid w:val="798065AD"/>
    <w:rsid w:val="79864FCF"/>
    <w:rsid w:val="799E02FC"/>
    <w:rsid w:val="79A670A6"/>
    <w:rsid w:val="79AB4DFD"/>
    <w:rsid w:val="79AE7953"/>
    <w:rsid w:val="79B0456E"/>
    <w:rsid w:val="79C5441A"/>
    <w:rsid w:val="79D96FEC"/>
    <w:rsid w:val="79DF6EA9"/>
    <w:rsid w:val="79E52AD2"/>
    <w:rsid w:val="79E93583"/>
    <w:rsid w:val="79F52AA1"/>
    <w:rsid w:val="79F71064"/>
    <w:rsid w:val="7A087D96"/>
    <w:rsid w:val="7A1121DC"/>
    <w:rsid w:val="7A1734A9"/>
    <w:rsid w:val="7A20167B"/>
    <w:rsid w:val="7A3E38C0"/>
    <w:rsid w:val="7A416FFF"/>
    <w:rsid w:val="7A482703"/>
    <w:rsid w:val="7A4A62A8"/>
    <w:rsid w:val="7A4B39AC"/>
    <w:rsid w:val="7A5416EC"/>
    <w:rsid w:val="7A547DC4"/>
    <w:rsid w:val="7A5549F4"/>
    <w:rsid w:val="7A56359B"/>
    <w:rsid w:val="7A662BCD"/>
    <w:rsid w:val="7A7D63DC"/>
    <w:rsid w:val="7A8157DB"/>
    <w:rsid w:val="7AA11C02"/>
    <w:rsid w:val="7AA33D00"/>
    <w:rsid w:val="7AE14A59"/>
    <w:rsid w:val="7B034450"/>
    <w:rsid w:val="7B160B5E"/>
    <w:rsid w:val="7B27120F"/>
    <w:rsid w:val="7B2F1D0B"/>
    <w:rsid w:val="7B39763D"/>
    <w:rsid w:val="7B5178B1"/>
    <w:rsid w:val="7B5D157E"/>
    <w:rsid w:val="7B6E342F"/>
    <w:rsid w:val="7B8B4F31"/>
    <w:rsid w:val="7BA413C8"/>
    <w:rsid w:val="7BD06756"/>
    <w:rsid w:val="7BD60A31"/>
    <w:rsid w:val="7C044D9E"/>
    <w:rsid w:val="7C360636"/>
    <w:rsid w:val="7C404370"/>
    <w:rsid w:val="7C4B5858"/>
    <w:rsid w:val="7C50573B"/>
    <w:rsid w:val="7C532067"/>
    <w:rsid w:val="7C5344D3"/>
    <w:rsid w:val="7C582F72"/>
    <w:rsid w:val="7C5D1907"/>
    <w:rsid w:val="7C6A0C2B"/>
    <w:rsid w:val="7C715D6E"/>
    <w:rsid w:val="7C9F049C"/>
    <w:rsid w:val="7CC65E53"/>
    <w:rsid w:val="7CC70B58"/>
    <w:rsid w:val="7CCD013C"/>
    <w:rsid w:val="7CCD4320"/>
    <w:rsid w:val="7CD42521"/>
    <w:rsid w:val="7CD56508"/>
    <w:rsid w:val="7CE213B7"/>
    <w:rsid w:val="7CE50394"/>
    <w:rsid w:val="7CE809E3"/>
    <w:rsid w:val="7CFB1883"/>
    <w:rsid w:val="7D004020"/>
    <w:rsid w:val="7D016E09"/>
    <w:rsid w:val="7D196F35"/>
    <w:rsid w:val="7D1A750E"/>
    <w:rsid w:val="7D2269A9"/>
    <w:rsid w:val="7D3C6E95"/>
    <w:rsid w:val="7D3E302F"/>
    <w:rsid w:val="7D484EAB"/>
    <w:rsid w:val="7D552A0D"/>
    <w:rsid w:val="7D610390"/>
    <w:rsid w:val="7D6A4C5A"/>
    <w:rsid w:val="7D8C67F9"/>
    <w:rsid w:val="7D942202"/>
    <w:rsid w:val="7DA13D2B"/>
    <w:rsid w:val="7DAA4271"/>
    <w:rsid w:val="7DB0413F"/>
    <w:rsid w:val="7DF50484"/>
    <w:rsid w:val="7E01736D"/>
    <w:rsid w:val="7E0E25A8"/>
    <w:rsid w:val="7E137B0F"/>
    <w:rsid w:val="7E161D6A"/>
    <w:rsid w:val="7E1D52C5"/>
    <w:rsid w:val="7E3144A6"/>
    <w:rsid w:val="7E3B1264"/>
    <w:rsid w:val="7E4E5762"/>
    <w:rsid w:val="7E5B60E4"/>
    <w:rsid w:val="7E5E155A"/>
    <w:rsid w:val="7E675570"/>
    <w:rsid w:val="7E851353"/>
    <w:rsid w:val="7E926EFB"/>
    <w:rsid w:val="7EA6273A"/>
    <w:rsid w:val="7EA86773"/>
    <w:rsid w:val="7EB00A5B"/>
    <w:rsid w:val="7ED229F8"/>
    <w:rsid w:val="7ED24CE2"/>
    <w:rsid w:val="7EE72D75"/>
    <w:rsid w:val="7EEC3899"/>
    <w:rsid w:val="7EF75E0B"/>
    <w:rsid w:val="7F10119E"/>
    <w:rsid w:val="7F17343A"/>
    <w:rsid w:val="7F1748C2"/>
    <w:rsid w:val="7F1A0474"/>
    <w:rsid w:val="7F2745CA"/>
    <w:rsid w:val="7F393F07"/>
    <w:rsid w:val="7F3A77E0"/>
    <w:rsid w:val="7F477103"/>
    <w:rsid w:val="7F542D25"/>
    <w:rsid w:val="7F6421A5"/>
    <w:rsid w:val="7F670032"/>
    <w:rsid w:val="7F697F61"/>
    <w:rsid w:val="7F6C6B77"/>
    <w:rsid w:val="7F73386B"/>
    <w:rsid w:val="7F7D5BC4"/>
    <w:rsid w:val="7F831FA0"/>
    <w:rsid w:val="7F9D3DD2"/>
    <w:rsid w:val="7FA9320B"/>
    <w:rsid w:val="7FBE786B"/>
    <w:rsid w:val="7FCA67FE"/>
    <w:rsid w:val="7FD14881"/>
    <w:rsid w:val="7FEF7D2B"/>
    <w:rsid w:val="7FF81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22" w:firstLineChars="200"/>
      <w:jc w:val="both"/>
    </w:pPr>
    <w:rPr>
      <w:rFonts w:ascii="方正仿宋简体" w:hAnsi="Times New Roman" w:eastAsia="方正仿宋简体" w:cs="Times New Roman"/>
      <w:kern w:val="2"/>
      <w:sz w:val="32"/>
      <w:lang w:val="en-US" w:eastAsia="zh-CN" w:bidi="ar-SA"/>
    </w:rPr>
  </w:style>
  <w:style w:type="paragraph" w:styleId="2">
    <w:name w:val="heading 1"/>
    <w:basedOn w:val="1"/>
    <w:next w:val="1"/>
    <w:link w:val="29"/>
    <w:qFormat/>
    <w:uiPriority w:val="9"/>
    <w:pPr>
      <w:ind w:firstLine="640"/>
      <w:outlineLvl w:val="0"/>
    </w:pPr>
    <w:rPr>
      <w:rFonts w:ascii="方正黑体简体" w:eastAsia="方正黑体简体"/>
    </w:rPr>
  </w:style>
  <w:style w:type="paragraph" w:styleId="3">
    <w:name w:val="heading 2"/>
    <w:basedOn w:val="1"/>
    <w:next w:val="1"/>
    <w:link w:val="35"/>
    <w:unhideWhenUsed/>
    <w:qFormat/>
    <w:uiPriority w:val="9"/>
    <w:pPr>
      <w:ind w:firstLine="640"/>
      <w:outlineLvl w:val="1"/>
    </w:pPr>
    <w:rPr>
      <w:rFonts w:ascii="方正楷体简体" w:eastAsia="方正楷体简体"/>
    </w:rPr>
  </w:style>
  <w:style w:type="paragraph" w:styleId="4">
    <w:name w:val="heading 3"/>
    <w:basedOn w:val="1"/>
    <w:next w:val="1"/>
    <w:link w:val="36"/>
    <w:unhideWhenUsed/>
    <w:qFormat/>
    <w:uiPriority w:val="9"/>
    <w:pPr>
      <w:ind w:firstLine="640"/>
      <w:outlineLvl w:val="2"/>
    </w:pPr>
    <w:rPr>
      <w:rFonts w:hAnsi="Calibri"/>
      <w:szCs w:val="32"/>
    </w:rPr>
  </w:style>
  <w:style w:type="paragraph" w:styleId="5">
    <w:name w:val="heading 4"/>
    <w:basedOn w:val="1"/>
    <w:next w:val="1"/>
    <w:link w:val="37"/>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link w:val="38"/>
    <w:unhideWhenUsed/>
    <w:qFormat/>
    <w:uiPriority w:val="9"/>
    <w:pPr>
      <w:keepNext/>
      <w:keepLines/>
      <w:spacing w:before="280" w:after="290" w:line="376" w:lineRule="atLeast"/>
      <w:outlineLvl w:val="4"/>
    </w:pPr>
    <w:rPr>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7">
    <w:name w:val="annotation text"/>
    <w:basedOn w:val="1"/>
    <w:link w:val="33"/>
    <w:semiHidden/>
    <w:unhideWhenUsed/>
    <w:qFormat/>
    <w:uiPriority w:val="99"/>
    <w:pPr>
      <w:jc w:val="left"/>
    </w:pPr>
  </w:style>
  <w:style w:type="paragraph" w:styleId="8">
    <w:name w:val="Body Text"/>
    <w:basedOn w:val="1"/>
    <w:qFormat/>
    <w:uiPriority w:val="0"/>
    <w:pPr>
      <w:widowControl/>
    </w:pPr>
    <w:rPr>
      <w:kern w:val="0"/>
    </w:rPr>
  </w:style>
  <w:style w:type="paragraph" w:styleId="9">
    <w:name w:val="toc 3"/>
    <w:basedOn w:val="1"/>
    <w:next w:val="1"/>
    <w:unhideWhenUsed/>
    <w:qFormat/>
    <w:uiPriority w:val="39"/>
    <w:pPr>
      <w:tabs>
        <w:tab w:val="right" w:leader="dot" w:pos="8296"/>
      </w:tabs>
      <w:snapToGrid w:val="0"/>
      <w:spacing w:line="240" w:lineRule="auto"/>
      <w:ind w:left="1282" w:leftChars="355" w:hanging="146" w:hangingChars="52"/>
    </w:pPr>
  </w:style>
  <w:style w:type="paragraph" w:styleId="10">
    <w:name w:val="Balloon Text"/>
    <w:basedOn w:val="1"/>
    <w:link w:val="31"/>
    <w:semiHidden/>
    <w:unhideWhenUsed/>
    <w:qFormat/>
    <w:uiPriority w:val="99"/>
    <w:pPr>
      <w:spacing w:line="240" w:lineRule="auto"/>
    </w:pPr>
    <w:rPr>
      <w:sz w:val="18"/>
      <w:szCs w:val="18"/>
    </w:rPr>
  </w:style>
  <w:style w:type="paragraph" w:styleId="11">
    <w:name w:val="footer"/>
    <w:basedOn w:val="1"/>
    <w:link w:val="23"/>
    <w:unhideWhenUsed/>
    <w:qFormat/>
    <w:uiPriority w:val="99"/>
    <w:pPr>
      <w:tabs>
        <w:tab w:val="center" w:pos="4153"/>
        <w:tab w:val="right" w:pos="8306"/>
      </w:tabs>
      <w:snapToGrid w:val="0"/>
      <w:spacing w:line="240" w:lineRule="auto"/>
      <w:ind w:firstLine="0" w:firstLineChars="0"/>
      <w:jc w:val="left"/>
    </w:pPr>
    <w:rPr>
      <w:rFonts w:asciiTheme="minorHAnsi" w:hAnsiTheme="minorHAnsi" w:eastAsiaTheme="minorEastAsia" w:cstheme="minorBidi"/>
      <w:sz w:val="18"/>
      <w:szCs w:val="18"/>
    </w:rPr>
  </w:style>
  <w:style w:type="paragraph" w:styleId="12">
    <w:name w:val="header"/>
    <w:basedOn w:val="1"/>
    <w:link w:val="22"/>
    <w:unhideWhenUsed/>
    <w:qFormat/>
    <w:uiPriority w:val="99"/>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paragraph" w:styleId="13">
    <w:name w:val="toc 1"/>
    <w:basedOn w:val="1"/>
    <w:next w:val="1"/>
    <w:unhideWhenUsed/>
    <w:qFormat/>
    <w:uiPriority w:val="39"/>
    <w:pPr>
      <w:tabs>
        <w:tab w:val="right" w:leader="dot" w:pos="8296"/>
      </w:tabs>
      <w:snapToGrid w:val="0"/>
      <w:spacing w:line="240" w:lineRule="auto"/>
      <w:ind w:firstLine="562"/>
    </w:pPr>
    <w:rPr>
      <w:rFonts w:ascii="方正黑体简体" w:eastAsia="方正黑体简体"/>
      <w:b/>
      <w:sz w:val="28"/>
      <w:szCs w:val="28"/>
    </w:rPr>
  </w:style>
  <w:style w:type="paragraph" w:styleId="14">
    <w:name w:val="toc 2"/>
    <w:basedOn w:val="1"/>
    <w:next w:val="1"/>
    <w:unhideWhenUsed/>
    <w:qFormat/>
    <w:uiPriority w:val="39"/>
    <w:pPr>
      <w:ind w:left="420" w:leftChars="200"/>
    </w:pPr>
  </w:style>
  <w:style w:type="paragraph" w:styleId="15">
    <w:name w:val="Title"/>
    <w:basedOn w:val="1"/>
    <w:next w:val="1"/>
    <w:link w:val="32"/>
    <w:qFormat/>
    <w:uiPriority w:val="10"/>
    <w:pPr>
      <w:ind w:firstLine="0" w:firstLineChars="0"/>
      <w:jc w:val="center"/>
    </w:pPr>
    <w:rPr>
      <w:rFonts w:ascii="方正小标宋简体" w:eastAsia="方正小标宋简体"/>
      <w:sz w:val="44"/>
      <w:szCs w:val="44"/>
    </w:rPr>
  </w:style>
  <w:style w:type="paragraph" w:styleId="16">
    <w:name w:val="annotation subject"/>
    <w:basedOn w:val="7"/>
    <w:next w:val="7"/>
    <w:link w:val="34"/>
    <w:semiHidden/>
    <w:unhideWhenUsed/>
    <w:qFormat/>
    <w:uiPriority w:val="99"/>
    <w:rPr>
      <w:b/>
      <w:bCs/>
    </w:r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0">
    <w:name w:val="Hyperlink"/>
    <w:basedOn w:val="19"/>
    <w:unhideWhenUsed/>
    <w:qFormat/>
    <w:uiPriority w:val="99"/>
    <w:rPr>
      <w:color w:val="0000FF" w:themeColor="hyperlink"/>
      <w:u w:val="single"/>
      <w14:textFill>
        <w14:solidFill>
          <w14:schemeClr w14:val="hlink"/>
        </w14:solidFill>
      </w14:textFill>
    </w:rPr>
  </w:style>
  <w:style w:type="character" w:styleId="21">
    <w:name w:val="annotation reference"/>
    <w:basedOn w:val="19"/>
    <w:semiHidden/>
    <w:unhideWhenUsed/>
    <w:qFormat/>
    <w:uiPriority w:val="99"/>
    <w:rPr>
      <w:sz w:val="21"/>
      <w:szCs w:val="21"/>
    </w:rPr>
  </w:style>
  <w:style w:type="character" w:customStyle="1" w:styleId="22">
    <w:name w:val="页眉 Char"/>
    <w:basedOn w:val="19"/>
    <w:link w:val="12"/>
    <w:qFormat/>
    <w:uiPriority w:val="99"/>
    <w:rPr>
      <w:sz w:val="18"/>
      <w:szCs w:val="18"/>
    </w:rPr>
  </w:style>
  <w:style w:type="character" w:customStyle="1" w:styleId="23">
    <w:name w:val="页脚 Char"/>
    <w:basedOn w:val="19"/>
    <w:link w:val="11"/>
    <w:qFormat/>
    <w:uiPriority w:val="99"/>
    <w:rPr>
      <w:sz w:val="18"/>
      <w:szCs w:val="18"/>
    </w:rPr>
  </w:style>
  <w:style w:type="paragraph" w:customStyle="1" w:styleId="24">
    <w:name w:val="表格（小）"/>
    <w:basedOn w:val="1"/>
    <w:link w:val="25"/>
    <w:qFormat/>
    <w:uiPriority w:val="3"/>
    <w:pPr>
      <w:spacing w:line="240" w:lineRule="exact"/>
      <w:ind w:firstLine="0" w:firstLineChars="0"/>
    </w:pPr>
    <w:rPr>
      <w:rFonts w:hAnsi="仿宋"/>
      <w:sz w:val="21"/>
      <w:szCs w:val="21"/>
    </w:rPr>
  </w:style>
  <w:style w:type="character" w:customStyle="1" w:styleId="25">
    <w:name w:val="表格（小） Char"/>
    <w:basedOn w:val="19"/>
    <w:link w:val="24"/>
    <w:qFormat/>
    <w:uiPriority w:val="3"/>
    <w:rPr>
      <w:rFonts w:ascii="方正仿宋简体" w:hAnsi="仿宋" w:eastAsia="方正仿宋简体" w:cs="Times New Roman"/>
      <w:szCs w:val="21"/>
    </w:rPr>
  </w:style>
  <w:style w:type="paragraph" w:customStyle="1" w:styleId="26">
    <w:name w:val="样式1"/>
    <w:basedOn w:val="1"/>
    <w:qFormat/>
    <w:uiPriority w:val="0"/>
    <w:pPr>
      <w:adjustRightInd w:val="0"/>
      <w:snapToGrid w:val="0"/>
      <w:spacing w:line="360" w:lineRule="auto"/>
      <w:ind w:right="74" w:firstLine="640"/>
    </w:pPr>
    <w:rPr>
      <w:rFonts w:ascii="Times New Roman" w:eastAsia="仿宋_GB2312"/>
      <w:szCs w:val="32"/>
    </w:rPr>
  </w:style>
  <w:style w:type="table" w:customStyle="1" w:styleId="27">
    <w:name w:val="Table Normal"/>
    <w:semiHidden/>
    <w:unhideWhenUsed/>
    <w:qFormat/>
    <w:uiPriority w:val="2"/>
    <w:pPr>
      <w:widowControl w:val="0"/>
      <w:autoSpaceDE w:val="0"/>
      <w:autoSpaceDN w:val="0"/>
    </w:pPr>
    <w:rPr>
      <w:sz w:val="22"/>
      <w:lang w:eastAsia="en-US"/>
    </w:rPr>
    <w:tblPr>
      <w:tblLayout w:type="fixed"/>
      <w:tblCellMar>
        <w:top w:w="0" w:type="dxa"/>
        <w:left w:w="0" w:type="dxa"/>
        <w:bottom w:w="0" w:type="dxa"/>
        <w:right w:w="0" w:type="dxa"/>
      </w:tblCellMar>
    </w:tblPr>
  </w:style>
  <w:style w:type="paragraph" w:customStyle="1" w:styleId="28">
    <w:name w:val="Table Paragraph"/>
    <w:basedOn w:val="1"/>
    <w:qFormat/>
    <w:uiPriority w:val="1"/>
    <w:pPr>
      <w:autoSpaceDE w:val="0"/>
      <w:autoSpaceDN w:val="0"/>
      <w:spacing w:line="240" w:lineRule="auto"/>
      <w:ind w:firstLine="0" w:firstLineChars="0"/>
      <w:jc w:val="left"/>
    </w:pPr>
    <w:rPr>
      <w:rFonts w:ascii="WenQuanYi Micro Hei" w:hAnsi="WenQuanYi Micro Hei" w:eastAsia="WenQuanYi Micro Hei" w:cs="WenQuanYi Micro Hei"/>
      <w:kern w:val="0"/>
      <w:sz w:val="22"/>
      <w:szCs w:val="22"/>
    </w:rPr>
  </w:style>
  <w:style w:type="character" w:customStyle="1" w:styleId="29">
    <w:name w:val="标题 1 Char"/>
    <w:basedOn w:val="19"/>
    <w:link w:val="2"/>
    <w:qFormat/>
    <w:uiPriority w:val="9"/>
    <w:rPr>
      <w:rFonts w:ascii="方正黑体简体" w:hAnsi="Times New Roman" w:eastAsia="方正黑体简体" w:cs="Times New Roman"/>
      <w:sz w:val="32"/>
      <w:szCs w:val="20"/>
    </w:rPr>
  </w:style>
  <w:style w:type="paragraph" w:customStyle="1" w:styleId="30">
    <w:name w:val="TOC 标题1"/>
    <w:basedOn w:val="2"/>
    <w:next w:val="1"/>
    <w:unhideWhenUsed/>
    <w:qFormat/>
    <w:uiPriority w:val="39"/>
    <w:pPr>
      <w:widowControl/>
      <w:spacing w:before="480" w:line="276" w:lineRule="auto"/>
      <w:ind w:firstLine="0" w:firstLineChars="0"/>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9"/>
    <w:link w:val="10"/>
    <w:semiHidden/>
    <w:qFormat/>
    <w:uiPriority w:val="99"/>
    <w:rPr>
      <w:rFonts w:ascii="方正仿宋简体" w:hAnsi="Times New Roman" w:eastAsia="方正仿宋简体" w:cs="Times New Roman"/>
      <w:sz w:val="18"/>
      <w:szCs w:val="18"/>
    </w:rPr>
  </w:style>
  <w:style w:type="character" w:customStyle="1" w:styleId="32">
    <w:name w:val="标题 Char"/>
    <w:basedOn w:val="19"/>
    <w:link w:val="15"/>
    <w:qFormat/>
    <w:uiPriority w:val="10"/>
    <w:rPr>
      <w:rFonts w:ascii="方正小标宋简体" w:hAnsi="Times New Roman" w:eastAsia="方正小标宋简体" w:cs="Times New Roman"/>
      <w:sz w:val="44"/>
      <w:szCs w:val="44"/>
    </w:rPr>
  </w:style>
  <w:style w:type="character" w:customStyle="1" w:styleId="33">
    <w:name w:val="批注文字 Char"/>
    <w:basedOn w:val="19"/>
    <w:link w:val="7"/>
    <w:semiHidden/>
    <w:qFormat/>
    <w:uiPriority w:val="99"/>
    <w:rPr>
      <w:rFonts w:ascii="方正仿宋简体" w:hAnsi="Times New Roman" w:eastAsia="方正仿宋简体" w:cs="Times New Roman"/>
      <w:sz w:val="32"/>
      <w:szCs w:val="20"/>
    </w:rPr>
  </w:style>
  <w:style w:type="character" w:customStyle="1" w:styleId="34">
    <w:name w:val="批注主题 Char"/>
    <w:basedOn w:val="33"/>
    <w:link w:val="16"/>
    <w:semiHidden/>
    <w:qFormat/>
    <w:uiPriority w:val="99"/>
    <w:rPr>
      <w:rFonts w:ascii="方正仿宋简体" w:hAnsi="Times New Roman" w:eastAsia="方正仿宋简体" w:cs="Times New Roman"/>
      <w:b/>
      <w:bCs/>
      <w:sz w:val="32"/>
      <w:szCs w:val="20"/>
    </w:rPr>
  </w:style>
  <w:style w:type="character" w:customStyle="1" w:styleId="35">
    <w:name w:val="标题 2 Char"/>
    <w:basedOn w:val="19"/>
    <w:link w:val="3"/>
    <w:qFormat/>
    <w:uiPriority w:val="9"/>
    <w:rPr>
      <w:rFonts w:ascii="方正楷体简体" w:hAnsi="Times New Roman" w:eastAsia="方正楷体简体" w:cs="Times New Roman"/>
      <w:sz w:val="32"/>
      <w:szCs w:val="20"/>
    </w:rPr>
  </w:style>
  <w:style w:type="character" w:customStyle="1" w:styleId="36">
    <w:name w:val="标题 3 Char"/>
    <w:basedOn w:val="19"/>
    <w:link w:val="4"/>
    <w:qFormat/>
    <w:uiPriority w:val="9"/>
    <w:rPr>
      <w:rFonts w:ascii="方正仿宋简体" w:hAnsi="Calibri" w:eastAsia="方正仿宋简体" w:cs="Times New Roman"/>
      <w:sz w:val="32"/>
      <w:szCs w:val="32"/>
    </w:rPr>
  </w:style>
  <w:style w:type="character" w:customStyle="1" w:styleId="37">
    <w:name w:val="标题 4 Char"/>
    <w:basedOn w:val="19"/>
    <w:link w:val="5"/>
    <w:qFormat/>
    <w:uiPriority w:val="9"/>
    <w:rPr>
      <w:rFonts w:asciiTheme="majorHAnsi" w:hAnsiTheme="majorHAnsi" w:eastAsiaTheme="majorEastAsia" w:cstheme="majorBidi"/>
      <w:b/>
      <w:bCs/>
      <w:sz w:val="28"/>
      <w:szCs w:val="28"/>
    </w:rPr>
  </w:style>
  <w:style w:type="character" w:customStyle="1" w:styleId="38">
    <w:name w:val="标题 5 Char"/>
    <w:basedOn w:val="19"/>
    <w:link w:val="6"/>
    <w:qFormat/>
    <w:uiPriority w:val="9"/>
    <w:rPr>
      <w:rFonts w:ascii="方正仿宋简体" w:hAnsi="Times New Roman" w:eastAsia="方正仿宋简体" w:cs="Times New Roman"/>
      <w:b/>
      <w:bCs/>
      <w:sz w:val="28"/>
      <w:szCs w:val="28"/>
    </w:rPr>
  </w:style>
  <w:style w:type="paragraph" w:customStyle="1" w:styleId="39">
    <w:name w:val="TOC 标题2"/>
    <w:basedOn w:val="2"/>
    <w:next w:val="1"/>
    <w:semiHidden/>
    <w:unhideWhenUsed/>
    <w:qFormat/>
    <w:uiPriority w:val="39"/>
    <w:pPr>
      <w:keepNext/>
      <w:keepLines/>
      <w:spacing w:before="340" w:after="330" w:line="578" w:lineRule="atLeast"/>
      <w:ind w:firstLine="622"/>
      <w:outlineLvl w:val="9"/>
    </w:pPr>
    <w:rPr>
      <w:rFonts w:ascii="方正仿宋简体" w:eastAsia="方正仿宋简体"/>
      <w:b/>
      <w:bCs/>
      <w:kern w:val="44"/>
      <w:sz w:val="44"/>
      <w:szCs w:val="44"/>
    </w:rPr>
  </w:style>
  <w:style w:type="table" w:customStyle="1" w:styleId="40">
    <w:name w:val="网格型11"/>
    <w:basedOn w:val="17"/>
    <w:qFormat/>
    <w:uiPriority w:val="0"/>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style>
  <w:style w:type="table" w:customStyle="1" w:styleId="41">
    <w:name w:val="网格型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style>
  <w:style w:type="character" w:customStyle="1" w:styleId="42">
    <w:name w:val="font21"/>
    <w:basedOn w:val="19"/>
    <w:qFormat/>
    <w:uiPriority w:val="0"/>
    <w:rPr>
      <w:rFonts w:hint="eastAsia" w:ascii="宋体" w:hAnsi="宋体" w:eastAsia="宋体" w:cs="宋体"/>
      <w:color w:val="000000"/>
      <w:sz w:val="18"/>
      <w:szCs w:val="18"/>
      <w:u w:val="none"/>
    </w:rPr>
  </w:style>
  <w:style w:type="character" w:customStyle="1" w:styleId="43">
    <w:name w:val="font51"/>
    <w:basedOn w:val="19"/>
    <w:qFormat/>
    <w:uiPriority w:val="0"/>
    <w:rPr>
      <w:rFonts w:hint="default" w:ascii="方正仿宋简体" w:hAnsi="方正仿宋简体" w:eastAsia="方正仿宋简体" w:cs="方正仿宋简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124125-76B8-4860-BE19-15F1BF0C7EC6}">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14</Pages>
  <Words>1728</Words>
  <Characters>9850</Characters>
  <Lines>82</Lines>
  <Paragraphs>23</Paragraphs>
  <TotalTime>115</TotalTime>
  <ScaleCrop>false</ScaleCrop>
  <LinksUpToDate>false</LinksUpToDate>
  <CharactersWithSpaces>11555</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2022-04-02T00:39:00Z</dcterms:created>
  <dc:creator>王晓宇</dc:creator>
  <cp:lastModifiedBy>陈兴品</cp:lastModifiedBy>
  <cp:lastPrinted>2023-12-08T06:14:00Z</cp:lastPrinted>
  <dcterms:modified xsi:type="dcterms:W3CDTF">2023-12-12T14:38:00Z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y fmtid="{D5CDD505-2E9C-101B-9397-08002B2CF9AE}" pid="3" name="ICV">
    <vt:lpwstr>EF66DB4A146640BCB36ECE61DBD649A3_13</vt:lpwstr>
  </property>
</Properties>
</file>