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方正小标宋简体" w:hAnsi="方正小标宋简体" w:eastAsia="方正小标宋简体" w:cs="方正小标宋简体"/>
          <w:sz w:val="44"/>
          <w:szCs w:val="44"/>
          <w:lang w:val="en-US" w:eastAsia="zh-CN"/>
        </w:rPr>
      </w:pPr>
      <w:bookmarkStart w:id="0" w:name="_Toc15014"/>
      <w:bookmarkStart w:id="1" w:name="_Toc101092317"/>
      <w:r>
        <w:rPr>
          <w:rFonts w:hint="eastAsia" w:ascii="方正小标宋简体" w:hAnsi="方正小标宋简体" w:eastAsia="方正小标宋简体" w:cs="方正小标宋简体"/>
          <w:sz w:val="44"/>
          <w:szCs w:val="44"/>
          <w:lang w:val="en-US" w:eastAsia="zh-CN"/>
        </w:rPr>
        <w:t>债权简介</w:t>
      </w:r>
    </w:p>
    <w:p>
      <w:pPr>
        <w:pStyle w:val="2"/>
        <w:jc w:val="left"/>
        <w:rPr>
          <w:rFonts w:hint="eastAsia" w:ascii="黑体" w:hAnsi="黑体" w:eastAsia="黑体" w:cs="黑体"/>
          <w:lang w:val="en-US" w:eastAsia="zh-CN"/>
        </w:rPr>
      </w:pPr>
    </w:p>
    <w:p>
      <w:pPr>
        <w:pStyle w:val="2"/>
        <w:jc w:val="left"/>
        <w:rPr>
          <w:rFonts w:hint="eastAsia" w:ascii="黑体" w:hAnsi="黑体" w:eastAsia="黑体" w:cs="黑体"/>
        </w:rPr>
      </w:pPr>
      <w:r>
        <w:rPr>
          <w:rFonts w:hint="eastAsia" w:ascii="黑体" w:hAnsi="黑体" w:eastAsia="黑体" w:cs="黑体"/>
          <w:lang w:val="en-US" w:eastAsia="zh-CN"/>
        </w:rPr>
        <w:t>一、</w:t>
      </w:r>
      <w:r>
        <w:rPr>
          <w:rFonts w:hint="eastAsia" w:ascii="黑体" w:hAnsi="黑体" w:eastAsia="黑体" w:cs="黑体"/>
        </w:rPr>
        <w:t>债权基本情况</w:t>
      </w:r>
      <w:bookmarkEnd w:id="0"/>
      <w:bookmarkEnd w:id="1"/>
    </w:p>
    <w:p>
      <w:pPr>
        <w:snapToGrid w:val="0"/>
        <w:ind w:firstLine="640"/>
        <w:rPr>
          <w:rFonts w:hint="eastAsia" w:ascii="楷体" w:hAnsi="楷体" w:eastAsia="楷体" w:cs="楷体"/>
          <w:szCs w:val="32"/>
        </w:rPr>
      </w:pPr>
      <w:r>
        <w:rPr>
          <w:rFonts w:hint="eastAsia" w:ascii="楷体" w:hAnsi="楷体" w:eastAsia="楷体" w:cs="楷体"/>
          <w:szCs w:val="32"/>
          <w:lang w:eastAsia="zh-CN"/>
        </w:rPr>
        <w:t>（</w:t>
      </w:r>
      <w:r>
        <w:rPr>
          <w:rFonts w:hint="eastAsia" w:ascii="楷体" w:hAnsi="楷体" w:eastAsia="楷体" w:cs="楷体"/>
          <w:szCs w:val="32"/>
          <w:lang w:val="en-US" w:eastAsia="zh-CN"/>
        </w:rPr>
        <w:t>一</w:t>
      </w:r>
      <w:r>
        <w:rPr>
          <w:rFonts w:hint="eastAsia" w:ascii="楷体" w:hAnsi="楷体" w:eastAsia="楷体" w:cs="楷体"/>
          <w:szCs w:val="32"/>
          <w:lang w:eastAsia="zh-CN"/>
        </w:rPr>
        <w:t>）</w:t>
      </w:r>
      <w:r>
        <w:rPr>
          <w:rFonts w:hint="eastAsia" w:ascii="楷体" w:hAnsi="楷体" w:eastAsia="楷体" w:cs="楷体"/>
          <w:szCs w:val="32"/>
        </w:rPr>
        <w:t>债权资产基本数据</w:t>
      </w:r>
    </w:p>
    <w:p>
      <w:pPr>
        <w:ind w:firstLine="640"/>
        <w:rPr>
          <w:rFonts w:hint="eastAsia" w:ascii="仿宋_GB2312" w:hAnsi="仿宋_GB2312" w:eastAsia="仿宋_GB2312" w:cs="仿宋_GB2312"/>
          <w:szCs w:val="22"/>
        </w:rPr>
      </w:pPr>
      <w:r>
        <w:rPr>
          <w:rFonts w:hint="eastAsia" w:ascii="仿宋_GB2312" w:hAnsi="仿宋_GB2312" w:eastAsia="仿宋_GB2312" w:cs="仿宋_GB2312"/>
          <w:szCs w:val="22"/>
        </w:rPr>
        <w:t>截至基准日202</w:t>
      </w:r>
      <w:r>
        <w:rPr>
          <w:rFonts w:hint="eastAsia" w:ascii="仿宋_GB2312" w:hAnsi="仿宋_GB2312" w:eastAsia="仿宋_GB2312" w:cs="仿宋_GB2312"/>
          <w:szCs w:val="22"/>
          <w:lang w:val="en-US" w:eastAsia="zh-CN"/>
        </w:rPr>
        <w:t>3</w:t>
      </w:r>
      <w:r>
        <w:rPr>
          <w:rFonts w:hint="eastAsia" w:ascii="仿宋_GB2312" w:hAnsi="仿宋_GB2312" w:eastAsia="仿宋_GB2312" w:cs="仿宋_GB2312"/>
          <w:szCs w:val="22"/>
        </w:rPr>
        <w:t>年3月20日,该户债权本金19,306,628.32 元，利息为17,077,927.67元，债权合计为36,384,555.99 元。</w:t>
      </w:r>
    </w:p>
    <w:p>
      <w:pPr>
        <w:snapToGrid w:val="0"/>
        <w:ind w:firstLine="640"/>
        <w:rPr>
          <w:rFonts w:hint="eastAsia" w:ascii="楷体" w:hAnsi="楷体" w:eastAsia="楷体" w:cs="楷体"/>
          <w:szCs w:val="32"/>
        </w:rPr>
      </w:pPr>
      <w:r>
        <w:rPr>
          <w:rFonts w:hint="eastAsia" w:ascii="楷体" w:hAnsi="楷体" w:eastAsia="楷体" w:cs="楷体"/>
          <w:szCs w:val="32"/>
          <w:lang w:eastAsia="zh-CN"/>
        </w:rPr>
        <w:t>（</w:t>
      </w:r>
      <w:r>
        <w:rPr>
          <w:rFonts w:hint="eastAsia" w:ascii="楷体" w:hAnsi="楷体" w:eastAsia="楷体" w:cs="楷体"/>
          <w:szCs w:val="32"/>
          <w:lang w:val="en-US" w:eastAsia="zh-CN"/>
        </w:rPr>
        <w:t>二</w:t>
      </w:r>
      <w:r>
        <w:rPr>
          <w:rFonts w:hint="eastAsia" w:ascii="楷体" w:hAnsi="楷体" w:eastAsia="楷体" w:cs="楷体"/>
          <w:szCs w:val="32"/>
          <w:lang w:eastAsia="zh-CN"/>
        </w:rPr>
        <w:t>）</w:t>
      </w:r>
      <w:r>
        <w:rPr>
          <w:rFonts w:hint="eastAsia" w:ascii="楷体" w:hAnsi="楷体" w:eastAsia="楷体" w:cs="楷体"/>
          <w:szCs w:val="32"/>
        </w:rPr>
        <w:t>债权形成过程</w:t>
      </w:r>
    </w:p>
    <w:p>
      <w:pPr>
        <w:snapToGrid w:val="0"/>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2014年3月7日，遵义市汇川区农村信用合作联社澳门路分社与悦众汽车签订建汇农信社(2014)年固贷澳字0242号《借款合同》，贷款本金1500万元，贷款期限为2014年3月7日至2017年3月6日; 2014年4月24日，遵义市汇川区农村信用合作联社澳门路分社与悦众汽车签订建汇农信社(2014)年流贷澳字0243号《借款合同》，贷款本金500万元，贷款期限为2014年4月24日至2017年4月23日;贷款期间，悦众汽车未能按期付息还本，因而逾期，成为不良贷款。</w:t>
      </w:r>
    </w:p>
    <w:p>
      <w:pPr>
        <w:snapToGrid w:val="0"/>
        <w:ind w:firstLine="640"/>
        <w:rPr>
          <w:rFonts w:hint="eastAsia" w:ascii="楷体" w:hAnsi="楷体" w:eastAsia="楷体" w:cs="楷体"/>
          <w:szCs w:val="32"/>
        </w:rPr>
      </w:pPr>
      <w:r>
        <w:rPr>
          <w:rFonts w:hint="eastAsia" w:ascii="楷体" w:hAnsi="楷体" w:eastAsia="楷体" w:cs="楷体"/>
          <w:szCs w:val="32"/>
          <w:lang w:eastAsia="zh-CN"/>
        </w:rPr>
        <w:t>（</w:t>
      </w:r>
      <w:r>
        <w:rPr>
          <w:rFonts w:hint="eastAsia" w:ascii="楷体" w:hAnsi="楷体" w:eastAsia="楷体" w:cs="楷体"/>
          <w:szCs w:val="32"/>
          <w:lang w:val="en-US" w:eastAsia="zh-CN"/>
        </w:rPr>
        <w:t>三</w:t>
      </w:r>
      <w:r>
        <w:rPr>
          <w:rFonts w:hint="eastAsia" w:ascii="楷体" w:hAnsi="楷体" w:eastAsia="楷体" w:cs="楷体"/>
          <w:szCs w:val="32"/>
          <w:lang w:eastAsia="zh-CN"/>
        </w:rPr>
        <w:t>）</w:t>
      </w:r>
      <w:r>
        <w:rPr>
          <w:rFonts w:hint="eastAsia" w:ascii="楷体" w:hAnsi="楷体" w:eastAsia="楷体" w:cs="楷体"/>
          <w:szCs w:val="32"/>
        </w:rPr>
        <w:t>诉讼执行情况</w:t>
      </w:r>
    </w:p>
    <w:p>
      <w:pPr>
        <w:ind w:firstLine="640"/>
        <w:rPr>
          <w:rFonts w:hint="eastAsia" w:ascii="仿宋_GB2312" w:hAnsi="仿宋_GB2312" w:eastAsia="仿宋_GB2312" w:cs="仿宋_GB2312"/>
          <w:color w:val="000000" w:themeColor="text1"/>
          <w:szCs w:val="32"/>
          <w14:textFill>
            <w14:solidFill>
              <w14:schemeClr w14:val="tx1"/>
            </w14:solidFill>
          </w14:textFill>
        </w:rPr>
      </w:pPr>
      <w:r>
        <w:rPr>
          <w:rFonts w:hint="eastAsia" w:ascii="仿宋_GB2312" w:hAnsi="仿宋_GB2312" w:eastAsia="仿宋_GB2312" w:cs="仿宋_GB2312"/>
          <w:color w:val="000000" w:themeColor="text1"/>
          <w:szCs w:val="32"/>
          <w:lang w:val="en-US" w:eastAsia="zh-CN"/>
          <w14:textFill>
            <w14:solidFill>
              <w14:schemeClr w14:val="tx1"/>
            </w14:solidFill>
          </w14:textFill>
        </w:rPr>
        <w:t>1.</w:t>
      </w:r>
      <w:r>
        <w:rPr>
          <w:rFonts w:hint="eastAsia" w:ascii="仿宋_GB2312" w:hAnsi="仿宋_GB2312" w:eastAsia="仿宋_GB2312" w:cs="仿宋_GB2312"/>
          <w:color w:val="000000" w:themeColor="text1"/>
          <w:szCs w:val="32"/>
          <w:lang w:eastAsia="zh-Hans"/>
          <w14:textFill>
            <w14:solidFill>
              <w14:schemeClr w14:val="tx1"/>
            </w14:solidFill>
          </w14:textFill>
        </w:rPr>
        <w:t>诉讼情况</w:t>
      </w:r>
    </w:p>
    <w:tbl>
      <w:tblPr>
        <w:tblStyle w:val="3"/>
        <w:tblW w:w="8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1194"/>
        <w:gridCol w:w="1088"/>
        <w:gridCol w:w="1638"/>
        <w:gridCol w:w="1388"/>
        <w:gridCol w:w="1028"/>
        <w:gridCol w:w="1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原告</w:t>
            </w:r>
          </w:p>
        </w:tc>
        <w:tc>
          <w:tcPr>
            <w:tcW w:w="1194" w:type="dxa"/>
            <w:tcBorders>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lang w:eastAsia="zh-Hans"/>
              </w:rPr>
              <w:t>被告</w:t>
            </w:r>
          </w:p>
        </w:tc>
        <w:tc>
          <w:tcPr>
            <w:tcW w:w="1088"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lang w:eastAsia="zh-Hans"/>
              </w:rPr>
              <w:t>受理</w:t>
            </w:r>
            <w:r>
              <w:rPr>
                <w:rFonts w:hint="eastAsia" w:ascii="仿宋_GB2312" w:hAnsi="仿宋_GB2312" w:eastAsia="仿宋_GB2312" w:cs="仿宋_GB2312"/>
                <w:b/>
                <w:bCs/>
                <w:kern w:val="0"/>
                <w:sz w:val="21"/>
                <w:szCs w:val="21"/>
              </w:rPr>
              <w:t>日期</w:t>
            </w:r>
          </w:p>
        </w:tc>
        <w:tc>
          <w:tcPr>
            <w:tcW w:w="1638"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案号</w:t>
            </w:r>
          </w:p>
        </w:tc>
        <w:tc>
          <w:tcPr>
            <w:tcW w:w="1388"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审理法院</w:t>
            </w:r>
          </w:p>
        </w:tc>
        <w:tc>
          <w:tcPr>
            <w:tcW w:w="1028"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审理阶段</w:t>
            </w:r>
          </w:p>
        </w:tc>
        <w:tc>
          <w:tcPr>
            <w:tcW w:w="1146" w:type="dxa"/>
            <w:tcBorders>
              <w:lef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判决日期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color w:val="000000"/>
                <w:kern w:val="0"/>
                <w:sz w:val="21"/>
                <w:szCs w:val="21"/>
                <w:lang w:eastAsia="zh-Hans"/>
              </w:rPr>
              <w:t>中国东方资产管理股份有限公司广西壮族自治区分公司</w:t>
            </w:r>
          </w:p>
        </w:tc>
        <w:tc>
          <w:tcPr>
            <w:tcW w:w="1194" w:type="dxa"/>
            <w:tcBorders>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eastAsia="zh-Hans"/>
              </w:rPr>
              <w:t>悦众汽车、陈曲、陈晨、张婕、易小平</w:t>
            </w:r>
          </w:p>
        </w:tc>
        <w:tc>
          <w:tcPr>
            <w:tcW w:w="108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color w:val="000000"/>
                <w:kern w:val="0"/>
                <w:sz w:val="21"/>
                <w:szCs w:val="21"/>
              </w:rPr>
              <w:t>2021/6/4</w:t>
            </w:r>
          </w:p>
        </w:tc>
        <w:tc>
          <w:tcPr>
            <w:tcW w:w="163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color w:val="000000"/>
                <w:kern w:val="0"/>
                <w:sz w:val="21"/>
                <w:szCs w:val="21"/>
                <w:lang w:eastAsia="zh-Hans"/>
              </w:rPr>
              <w:t>（2021）黔03民初665号</w:t>
            </w:r>
          </w:p>
        </w:tc>
        <w:tc>
          <w:tcPr>
            <w:tcW w:w="138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rPr>
              <w:t>遵义市中级人民法院</w:t>
            </w:r>
          </w:p>
        </w:tc>
        <w:tc>
          <w:tcPr>
            <w:tcW w:w="102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315" w:firstLineChars="150"/>
              <w:jc w:val="left"/>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一审</w:t>
            </w:r>
          </w:p>
        </w:tc>
        <w:tc>
          <w:tcPr>
            <w:tcW w:w="1146" w:type="dxa"/>
            <w:tcBorders>
              <w:lef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2021年12月10日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31" w:type="dxa"/>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b/>
                <w:bCs/>
                <w:color w:val="000000"/>
                <w:kern w:val="0"/>
                <w:sz w:val="21"/>
                <w:szCs w:val="21"/>
              </w:rPr>
              <w:t>判决</w:t>
            </w:r>
            <w:r>
              <w:rPr>
                <w:rFonts w:hint="eastAsia" w:ascii="仿宋_GB2312" w:hAnsi="仿宋_GB2312" w:eastAsia="仿宋_GB2312" w:cs="仿宋_GB2312"/>
                <w:b/>
                <w:bCs/>
                <w:color w:val="000000"/>
                <w:kern w:val="0"/>
                <w:sz w:val="21"/>
                <w:szCs w:val="21"/>
                <w:lang w:eastAsia="zh-Hans"/>
              </w:rPr>
              <w:t>内容</w:t>
            </w:r>
          </w:p>
        </w:tc>
        <w:tc>
          <w:tcPr>
            <w:tcW w:w="7482" w:type="dxa"/>
            <w:gridSpan w:val="6"/>
            <w:vAlign w:val="center"/>
          </w:tcPr>
          <w:p>
            <w:pPr>
              <w:numPr>
                <w:ilvl w:val="0"/>
                <w:numId w:val="1"/>
              </w:numPr>
              <w:snapToGrid w:val="0"/>
              <w:spacing w:line="240" w:lineRule="auto"/>
              <w:ind w:firstLineChars="0"/>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color w:val="000000"/>
                <w:kern w:val="0"/>
                <w:sz w:val="21"/>
                <w:szCs w:val="21"/>
                <w:lang w:eastAsia="zh-Hans"/>
              </w:rPr>
              <w:t>由被告遵义悦众汽车销售服务有限公司于本判决生效后十日内偿还原告中国东方资产管理股份有限公司广西壮族自治区分公司借款本金1500万元及截止2019年8月20日的利息5027212.5元，并从2019年8月21日起以1500万元为基数按汇农信社(2014)年固贷澳字0242号《借款合同》约定的利率标准支付利息至借款还清时止；</w:t>
            </w:r>
          </w:p>
          <w:p>
            <w:pPr>
              <w:numPr>
                <w:ilvl w:val="0"/>
                <w:numId w:val="1"/>
              </w:numPr>
              <w:snapToGrid w:val="0"/>
              <w:spacing w:line="240" w:lineRule="auto"/>
              <w:ind w:firstLineChars="0"/>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color w:val="000000"/>
                <w:kern w:val="0"/>
                <w:sz w:val="21"/>
                <w:szCs w:val="21"/>
                <w:lang w:eastAsia="zh-Hans"/>
              </w:rPr>
              <w:t>由被告遵义悦众汽车销售服务有限公司于本判决生效后十日内偿还原告中国东方资产管理股份有限公司广西壮族自治区分公司借款本金497万元及截止2019年8月20日的利息1634422.85元，并从2019年8月21日起以497万元为基数按汇农信社(2014)年流贷澳字0243号《借款合同》约定的利率标准支付利息至借款还清时止；</w:t>
            </w:r>
          </w:p>
          <w:p>
            <w:pPr>
              <w:numPr>
                <w:ilvl w:val="0"/>
                <w:numId w:val="1"/>
              </w:numPr>
              <w:snapToGrid w:val="0"/>
              <w:spacing w:line="240" w:lineRule="auto"/>
              <w:ind w:firstLineChars="0"/>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color w:val="000000"/>
                <w:kern w:val="0"/>
                <w:sz w:val="21"/>
                <w:szCs w:val="21"/>
                <w:lang w:eastAsia="zh-Hans"/>
              </w:rPr>
              <w:t>被告陈曲、易小平对本判决第二项确定的债务承担连带清偿贵任；其在承担保证责任后，有权在其承担范围内向被告遵义悦众汽车销售服务有限公司追偿；</w:t>
            </w:r>
          </w:p>
          <w:p>
            <w:pPr>
              <w:numPr>
                <w:ilvl w:val="0"/>
                <w:numId w:val="1"/>
              </w:numPr>
              <w:snapToGrid w:val="0"/>
              <w:spacing w:line="240" w:lineRule="auto"/>
              <w:ind w:firstLineChars="0"/>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color w:val="000000"/>
                <w:kern w:val="0"/>
                <w:sz w:val="21"/>
                <w:szCs w:val="21"/>
                <w:lang w:eastAsia="zh-Hans"/>
              </w:rPr>
              <w:t>若被告遵义悦众汽车销售服务有限公司未按期履行本判决第一项、第二项付款义务，原告中国东方资产管理股份有限公司广西壮族自治区分公司对陈曲提供的抵押物（位于贵州省遵义市汇川区长沙路遵义汽车城A区A座1-11号房产，产权证号：遵房权证监字第201207433号，建筑面积：487.23㎡,他项权证：遵房他证监字第2014200399)、对陈晨提供的抵押物（位于贵州省遵义市汇川区长沙路遵义汽车城A区A座1-8号房产，产权证号：遵房权证监字第201207152号，建筑面积：444.37㎡,他项权证：遵房他证监字第2014200399)、对张婕提供的抵押物（位于贵州省遵义市汇川区长沙路遵义汽车城A区A座1-12号房产，产权证号：遵房权证监字第201207431号，建筑面积：534.99㎡,他项权证：遵房他证监字第2014200399)经拍卖、变卖或折价所得价款在上述笫一项、第二项确定的债权范围内享有优先受偿权；</w:t>
            </w:r>
          </w:p>
          <w:p>
            <w:pPr>
              <w:numPr>
                <w:ilvl w:val="0"/>
                <w:numId w:val="1"/>
              </w:numPr>
              <w:snapToGrid w:val="0"/>
              <w:spacing w:line="240" w:lineRule="auto"/>
              <w:ind w:firstLineChars="0"/>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color w:val="000000"/>
                <w:kern w:val="0"/>
                <w:sz w:val="21"/>
                <w:szCs w:val="21"/>
                <w:lang w:eastAsia="zh-Hans"/>
              </w:rPr>
              <w:t>如果义务人未按本判决指定的期间履行给付金钱义务，应当依照《中华人民共和国民事诉讼法》第二百五十三条之规定，加倍支付迟延履行期间的债务利息。</w:t>
            </w:r>
          </w:p>
          <w:p>
            <w:pPr>
              <w:snapToGrid w:val="0"/>
              <w:spacing w:line="240" w:lineRule="auto"/>
              <w:ind w:firstLineChars="0"/>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color w:val="000000"/>
                <w:kern w:val="0"/>
                <w:sz w:val="21"/>
                <w:szCs w:val="21"/>
                <w:lang w:eastAsia="zh-Hans"/>
              </w:rPr>
              <w:t>案件受理费219336.19元，保全费5000元，共计224336.19元，由被告遵义悦众汽车销售服务有限公司、陈曲、陈晨、张婕、易小平负担200000元，由原告中国东方资产管理股份有限公司广西壮族自治区分公司负担24336.19元。</w:t>
            </w:r>
          </w:p>
        </w:tc>
      </w:tr>
    </w:tbl>
    <w:p>
      <w:pPr>
        <w:ind w:firstLine="640"/>
        <w:rPr>
          <w:rFonts w:hint="eastAsia" w:ascii="仿宋_GB2312" w:hAnsi="仿宋_GB2312" w:eastAsia="仿宋_GB2312" w:cs="仿宋_GB2312"/>
          <w:color w:val="000000" w:themeColor="text1"/>
          <w:szCs w:val="32"/>
          <w:lang w:eastAsia="zh-Hans"/>
          <w14:textFill>
            <w14:solidFill>
              <w14:schemeClr w14:val="tx1"/>
            </w14:solidFill>
          </w14:textFill>
        </w:rPr>
      </w:pPr>
      <w:r>
        <w:rPr>
          <w:rFonts w:hint="eastAsia" w:ascii="仿宋_GB2312" w:hAnsi="仿宋_GB2312" w:eastAsia="仿宋_GB2312" w:cs="仿宋_GB2312"/>
          <w:color w:val="000000" w:themeColor="text1"/>
          <w:szCs w:val="32"/>
          <w:lang w:val="en-US" w:eastAsia="zh-CN"/>
          <w14:textFill>
            <w14:solidFill>
              <w14:schemeClr w14:val="tx1"/>
            </w14:solidFill>
          </w14:textFill>
        </w:rPr>
        <w:t>2.</w:t>
      </w:r>
      <w:r>
        <w:rPr>
          <w:rFonts w:hint="eastAsia" w:ascii="仿宋_GB2312" w:hAnsi="仿宋_GB2312" w:eastAsia="仿宋_GB2312" w:cs="仿宋_GB2312"/>
          <w:color w:val="000000" w:themeColor="text1"/>
          <w:szCs w:val="32"/>
          <w:lang w:eastAsia="zh-Hans"/>
          <w14:textFill>
            <w14:solidFill>
              <w14:schemeClr w14:val="tx1"/>
            </w14:solidFill>
          </w14:textFill>
        </w:rPr>
        <w:t>执行情况</w:t>
      </w:r>
    </w:p>
    <w:tbl>
      <w:tblPr>
        <w:tblStyle w:val="3"/>
        <w:tblpPr w:leftFromText="180" w:rightFromText="180" w:vertAnchor="text" w:horzAnchor="page" w:tblpXSpec="center" w:tblpY="34"/>
        <w:tblOverlap w:val="never"/>
        <w:tblW w:w="8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042"/>
        <w:gridCol w:w="1265"/>
        <w:gridCol w:w="1413"/>
        <w:gridCol w:w="1575"/>
        <w:gridCol w:w="1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dxa"/>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申请人</w:t>
            </w:r>
          </w:p>
        </w:tc>
        <w:tc>
          <w:tcPr>
            <w:tcW w:w="2042" w:type="dxa"/>
            <w:tcBorders>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lang w:eastAsia="zh-Hans"/>
              </w:rPr>
              <w:t>被执行人</w:t>
            </w:r>
          </w:p>
        </w:tc>
        <w:tc>
          <w:tcPr>
            <w:tcW w:w="1265"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lang w:eastAsia="zh-Hans"/>
              </w:rPr>
              <w:t>受理</w:t>
            </w:r>
            <w:r>
              <w:rPr>
                <w:rFonts w:hint="eastAsia" w:ascii="仿宋_GB2312" w:hAnsi="仿宋_GB2312" w:eastAsia="仿宋_GB2312" w:cs="仿宋_GB2312"/>
                <w:b/>
                <w:bCs/>
                <w:kern w:val="0"/>
                <w:sz w:val="21"/>
                <w:szCs w:val="21"/>
              </w:rPr>
              <w:t>日期</w:t>
            </w:r>
          </w:p>
        </w:tc>
        <w:tc>
          <w:tcPr>
            <w:tcW w:w="1413"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案号</w:t>
            </w:r>
          </w:p>
        </w:tc>
        <w:tc>
          <w:tcPr>
            <w:tcW w:w="1575"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执行法院</w:t>
            </w:r>
          </w:p>
        </w:tc>
        <w:tc>
          <w:tcPr>
            <w:tcW w:w="1264"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执行阶段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eastAsia="zh-Hans"/>
              </w:rPr>
              <w:t>中国东方资产管理股份有限公司广西壮族自治区分公司</w:t>
            </w:r>
            <w:bookmarkStart w:id="6" w:name="_GoBack"/>
            <w:bookmarkEnd w:id="6"/>
          </w:p>
        </w:tc>
        <w:tc>
          <w:tcPr>
            <w:tcW w:w="2042" w:type="dxa"/>
            <w:tcBorders>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eastAsia="zh-Hans"/>
              </w:rPr>
              <w:t>悦众汽车、陈曲、陈晨、张婕、易小平</w:t>
            </w:r>
          </w:p>
        </w:tc>
        <w:tc>
          <w:tcPr>
            <w:tcW w:w="1265"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2022/3/4</w:t>
            </w:r>
          </w:p>
        </w:tc>
        <w:tc>
          <w:tcPr>
            <w:tcW w:w="1413"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（2022）黔03执410号</w:t>
            </w:r>
          </w:p>
        </w:tc>
        <w:tc>
          <w:tcPr>
            <w:tcW w:w="1575"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遵义市中级人民法院</w:t>
            </w:r>
          </w:p>
        </w:tc>
        <w:tc>
          <w:tcPr>
            <w:tcW w:w="1264"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rPr>
              <w:t>变卖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56" w:type="dxa"/>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b/>
                <w:bCs/>
                <w:color w:val="000000"/>
                <w:kern w:val="0"/>
                <w:sz w:val="21"/>
                <w:szCs w:val="21"/>
                <w:lang w:eastAsia="zh-Hans"/>
              </w:rPr>
              <w:t>执行内容</w:t>
            </w:r>
          </w:p>
        </w:tc>
        <w:tc>
          <w:tcPr>
            <w:tcW w:w="7559" w:type="dxa"/>
            <w:gridSpan w:val="5"/>
            <w:tcBorders>
              <w:right w:val="single" w:color="auto" w:sz="4" w:space="0"/>
            </w:tcBorders>
            <w:vAlign w:val="center"/>
          </w:tcPr>
          <w:p>
            <w:pPr>
              <w:snapToGrid w:val="0"/>
              <w:spacing w:line="240" w:lineRule="auto"/>
              <w:ind w:firstLine="420"/>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eastAsia="zh-Hans"/>
              </w:rPr>
              <w:t>中国东方资产管理股份有限公司广西壮族自治区分公司</w:t>
            </w:r>
            <w:r>
              <w:rPr>
                <w:rFonts w:hint="eastAsia" w:ascii="仿宋_GB2312" w:hAnsi="仿宋_GB2312" w:eastAsia="仿宋_GB2312" w:cs="仿宋_GB2312"/>
                <w:kern w:val="0"/>
                <w:sz w:val="21"/>
                <w:szCs w:val="21"/>
              </w:rPr>
              <w:t>申请对案涉抵押物进行评估、拍卖，2022年5月17日经遵义市中级人民法院摇号，确定评估机构为贵州精诚房地产估价有限责任公司，该公司现后作出两份评估报告，但因被执行人陈曲多次提起执行异议，要求将案涉抵押物装饰装修部分一并纳入评估范围，遵义市中级人民法院决定重新进行评估，2023年1月9日</w:t>
            </w:r>
            <w:r>
              <w:rPr>
                <w:rFonts w:hint="eastAsia" w:ascii="仿宋_GB2312" w:hAnsi="仿宋_GB2312" w:eastAsia="仿宋_GB2312" w:cs="仿宋_GB2312"/>
                <w:color w:val="000000"/>
                <w:kern w:val="0"/>
                <w:sz w:val="21"/>
                <w:szCs w:val="21"/>
                <w:lang w:eastAsia="zh-Hans"/>
              </w:rPr>
              <w:t>中国东方资产管理股份有限公司广西壮族自治区分公司</w:t>
            </w:r>
            <w:r>
              <w:rPr>
                <w:rFonts w:hint="eastAsia" w:ascii="仿宋_GB2312" w:hAnsi="仿宋_GB2312" w:eastAsia="仿宋_GB2312" w:cs="仿宋_GB2312"/>
                <w:kern w:val="0"/>
                <w:sz w:val="21"/>
                <w:szCs w:val="21"/>
              </w:rPr>
              <w:t>收到该案评估报告，评估总价为2544.5万元，室内固定装修评估价119.17万元。</w:t>
            </w:r>
          </w:p>
          <w:p>
            <w:pPr>
              <w:snapToGrid w:val="0"/>
              <w:spacing w:line="240" w:lineRule="auto"/>
              <w:ind w:firstLine="420"/>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2023年2月18日，对抵押物遵房权证监字第201207433号、遵房权证监字第201207152号、遵房权证监字第201207431号三处房产进行了第一次拍卖，起拍价分别为745.4701万元、705.75732万元、838.82637万元，但因价格过高无人竞买导致流拍。</w:t>
            </w:r>
          </w:p>
          <w:p>
            <w:pPr>
              <w:snapToGrid w:val="0"/>
              <w:spacing w:line="240" w:lineRule="auto"/>
              <w:ind w:firstLine="420"/>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后</w:t>
            </w:r>
            <w:r>
              <w:rPr>
                <w:rFonts w:hint="eastAsia" w:ascii="仿宋_GB2312" w:hAnsi="仿宋_GB2312" w:eastAsia="仿宋_GB2312" w:cs="仿宋_GB2312"/>
                <w:color w:val="000000"/>
                <w:kern w:val="0"/>
                <w:sz w:val="21"/>
                <w:szCs w:val="21"/>
                <w:lang w:eastAsia="zh-Hans"/>
              </w:rPr>
              <w:t>中国东方资产管理股份有限公司广西壮族自治区分公司</w:t>
            </w:r>
            <w:r>
              <w:rPr>
                <w:rFonts w:hint="eastAsia" w:ascii="仿宋_GB2312" w:hAnsi="仿宋_GB2312" w:eastAsia="仿宋_GB2312" w:cs="仿宋_GB2312"/>
                <w:kern w:val="0"/>
                <w:sz w:val="21"/>
                <w:szCs w:val="21"/>
              </w:rPr>
              <w:t>申请降价20%进行第二次拍卖，2023年03月25日挂网拍卖，起拍价分别为596.3708万元、564.605856万元、671.061096万元，同样无人竞拍导致流拍，</w:t>
            </w:r>
            <w:r>
              <w:rPr>
                <w:rFonts w:hint="eastAsia" w:ascii="仿宋_GB2312" w:hAnsi="仿宋_GB2312" w:eastAsia="仿宋_GB2312" w:cs="仿宋_GB2312"/>
                <w:color w:val="000000"/>
                <w:kern w:val="0"/>
                <w:sz w:val="21"/>
                <w:szCs w:val="21"/>
                <w:lang w:eastAsia="zh-Hans"/>
              </w:rPr>
              <w:t>中国东方资产管理股份有限公司广西壮族自治区分公司</w:t>
            </w:r>
            <w:r>
              <w:rPr>
                <w:rFonts w:hint="eastAsia" w:ascii="仿宋_GB2312" w:hAnsi="仿宋_GB2312" w:eastAsia="仿宋_GB2312" w:cs="仿宋_GB2312"/>
                <w:kern w:val="0"/>
                <w:sz w:val="21"/>
                <w:szCs w:val="21"/>
              </w:rPr>
              <w:t>已向执行法院申请变卖，目前尚未挂网。</w:t>
            </w:r>
          </w:p>
          <w:p>
            <w:pPr>
              <w:snapToGrid w:val="0"/>
              <w:spacing w:line="240" w:lineRule="auto"/>
              <w:ind w:firstLine="420"/>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同时，遵义市中级人民法院依法对抵押物租金进行了提取，截至2023年03月31日，该户提取租金共计663,371.68元。</w:t>
            </w:r>
          </w:p>
        </w:tc>
      </w:tr>
    </w:tbl>
    <w:p>
      <w:pPr>
        <w:pStyle w:val="2"/>
        <w:rPr>
          <w:rFonts w:hint="eastAsia" w:ascii="黑体" w:hAnsi="黑体" w:eastAsia="黑体" w:cs="黑体"/>
        </w:rPr>
      </w:pPr>
      <w:bookmarkStart w:id="2" w:name="_Toc101092318"/>
      <w:bookmarkStart w:id="3" w:name="_Toc29070"/>
      <w:r>
        <w:rPr>
          <w:rFonts w:hint="eastAsia" w:ascii="黑体" w:hAnsi="黑体" w:eastAsia="黑体" w:cs="黑体"/>
          <w:lang w:val="en-US" w:eastAsia="zh-CN"/>
        </w:rPr>
        <w:t>二、</w:t>
      </w:r>
      <w:r>
        <w:rPr>
          <w:rFonts w:hint="eastAsia" w:ascii="黑体" w:hAnsi="黑体" w:eastAsia="黑体" w:cs="黑体"/>
        </w:rPr>
        <w:t>债务人情况</w:t>
      </w:r>
      <w:bookmarkEnd w:id="2"/>
      <w:bookmarkEnd w:id="3"/>
    </w:p>
    <w:p>
      <w:pPr>
        <w:ind w:firstLine="640"/>
        <w:rPr>
          <w:rFonts w:hint="eastAsia" w:ascii="楷体" w:hAnsi="楷体" w:eastAsia="楷体" w:cs="楷体"/>
          <w:szCs w:val="32"/>
        </w:rPr>
      </w:pPr>
      <w:r>
        <w:rPr>
          <w:rFonts w:hint="eastAsia" w:ascii="楷体" w:hAnsi="楷体" w:eastAsia="楷体" w:cs="楷体"/>
          <w:szCs w:val="32"/>
          <w:lang w:eastAsia="zh-CN"/>
        </w:rPr>
        <w:t>（</w:t>
      </w:r>
      <w:r>
        <w:rPr>
          <w:rFonts w:hint="eastAsia" w:ascii="楷体" w:hAnsi="楷体" w:eastAsia="楷体" w:cs="楷体"/>
          <w:szCs w:val="32"/>
          <w:lang w:val="en-US" w:eastAsia="zh-CN"/>
        </w:rPr>
        <w:t>一</w:t>
      </w:r>
      <w:r>
        <w:rPr>
          <w:rFonts w:hint="eastAsia" w:ascii="楷体" w:hAnsi="楷体" w:eastAsia="楷体" w:cs="楷体"/>
          <w:szCs w:val="32"/>
          <w:lang w:eastAsia="zh-CN"/>
        </w:rPr>
        <w:t>）</w:t>
      </w:r>
      <w:r>
        <w:rPr>
          <w:rFonts w:hint="eastAsia" w:ascii="楷体" w:hAnsi="楷体" w:eastAsia="楷体" w:cs="楷体"/>
          <w:szCs w:val="32"/>
        </w:rPr>
        <w:t>基本情况</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D8D8D8" w:themeFill="background1" w:themeFillShade="D9"/>
          </w:tcPr>
          <w:p>
            <w:pPr>
              <w:pStyle w:val="6"/>
              <w:rPr>
                <w:rFonts w:hint="eastAsia" w:ascii="仿宋_GB2312" w:hAnsi="仿宋_GB2312" w:eastAsia="仿宋_GB2312" w:cs="仿宋_GB2312"/>
                <w:b/>
              </w:rPr>
            </w:pPr>
            <w:r>
              <w:rPr>
                <w:rFonts w:hint="eastAsia" w:ascii="仿宋_GB2312" w:hAnsi="仿宋_GB2312" w:eastAsia="仿宋_GB2312" w:cs="仿宋_GB2312"/>
                <w:b/>
              </w:rPr>
              <w:t>公司名称</w:t>
            </w:r>
          </w:p>
        </w:tc>
        <w:tc>
          <w:tcPr>
            <w:tcW w:w="6571" w:type="dxa"/>
          </w:tcPr>
          <w:p>
            <w:pPr>
              <w:pStyle w:val="6"/>
              <w:rPr>
                <w:rFonts w:hint="eastAsia" w:ascii="仿宋_GB2312" w:hAnsi="仿宋_GB2312" w:eastAsia="仿宋_GB2312" w:cs="仿宋_GB2312"/>
              </w:rPr>
            </w:pPr>
            <w:r>
              <w:rPr>
                <w:rFonts w:hint="eastAsia" w:ascii="仿宋_GB2312" w:hAnsi="仿宋_GB2312" w:eastAsia="仿宋_GB2312" w:cs="仿宋_GB2312"/>
                <w:color w:val="000000"/>
                <w:kern w:val="0"/>
                <w:u w:color="000000"/>
                <w:lang w:eastAsia="zh-Hans"/>
              </w:rPr>
              <w:t>遵义悦众汽车销售服务有限公司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D8D8D8" w:themeFill="background1" w:themeFillShade="D9"/>
          </w:tcPr>
          <w:p>
            <w:pPr>
              <w:pStyle w:val="6"/>
              <w:rPr>
                <w:rFonts w:hint="eastAsia" w:ascii="仿宋_GB2312" w:hAnsi="仿宋_GB2312" w:eastAsia="仿宋_GB2312" w:cs="仿宋_GB2312"/>
                <w:b/>
              </w:rPr>
            </w:pPr>
            <w:r>
              <w:rPr>
                <w:rFonts w:hint="eastAsia" w:ascii="仿宋_GB2312" w:hAnsi="仿宋_GB2312" w:eastAsia="仿宋_GB2312" w:cs="仿宋_GB2312"/>
                <w:b/>
              </w:rPr>
              <w:t>成立日期</w:t>
            </w:r>
          </w:p>
        </w:tc>
        <w:tc>
          <w:tcPr>
            <w:tcW w:w="6571" w:type="dxa"/>
          </w:tcPr>
          <w:p>
            <w:pPr>
              <w:pStyle w:val="6"/>
              <w:rPr>
                <w:rFonts w:hint="eastAsia" w:ascii="仿宋_GB2312" w:hAnsi="仿宋_GB2312" w:eastAsia="仿宋_GB2312" w:cs="仿宋_GB2312"/>
              </w:rPr>
            </w:pPr>
            <w:r>
              <w:rPr>
                <w:rFonts w:hint="eastAsia" w:ascii="仿宋_GB2312" w:hAnsi="仿宋_GB2312" w:eastAsia="仿宋_GB2312" w:cs="仿宋_GB2312"/>
              </w:rPr>
              <w:t>2013-09-24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D8D8D8" w:themeFill="background1" w:themeFillShade="D9"/>
          </w:tcPr>
          <w:p>
            <w:pPr>
              <w:pStyle w:val="6"/>
              <w:rPr>
                <w:rFonts w:hint="eastAsia" w:ascii="仿宋_GB2312" w:hAnsi="仿宋_GB2312" w:eastAsia="仿宋_GB2312" w:cs="仿宋_GB2312"/>
                <w:b/>
              </w:rPr>
            </w:pPr>
            <w:r>
              <w:rPr>
                <w:rFonts w:hint="eastAsia" w:ascii="仿宋_GB2312" w:hAnsi="仿宋_GB2312" w:eastAsia="仿宋_GB2312" w:cs="仿宋_GB2312"/>
                <w:b/>
              </w:rPr>
              <w:t>公司类型</w:t>
            </w:r>
          </w:p>
        </w:tc>
        <w:tc>
          <w:tcPr>
            <w:tcW w:w="6571" w:type="dxa"/>
          </w:tcPr>
          <w:p>
            <w:pPr>
              <w:pStyle w:val="6"/>
              <w:rPr>
                <w:rFonts w:hint="eastAsia" w:ascii="仿宋_GB2312" w:hAnsi="仿宋_GB2312" w:eastAsia="仿宋_GB2312" w:cs="仿宋_GB2312"/>
              </w:rPr>
            </w:pPr>
            <w:r>
              <w:rPr>
                <w:rFonts w:hint="eastAsia" w:ascii="仿宋_GB2312" w:hAnsi="仿宋_GB2312" w:eastAsia="仿宋_GB2312" w:cs="仿宋_GB2312"/>
                <w:color w:val="000000"/>
                <w:kern w:val="0"/>
                <w:u w:color="000000"/>
                <w:lang w:eastAsia="zh-Hans"/>
              </w:rPr>
              <w:t>有限责任公司（自然人投资或控股）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D8D8D8" w:themeFill="background1" w:themeFillShade="D9"/>
          </w:tcPr>
          <w:p>
            <w:pPr>
              <w:pStyle w:val="6"/>
              <w:rPr>
                <w:rFonts w:hint="eastAsia" w:ascii="仿宋_GB2312" w:hAnsi="仿宋_GB2312" w:eastAsia="仿宋_GB2312" w:cs="仿宋_GB2312"/>
                <w:b/>
              </w:rPr>
            </w:pPr>
            <w:r>
              <w:rPr>
                <w:rFonts w:hint="eastAsia" w:ascii="仿宋_GB2312" w:hAnsi="仿宋_GB2312" w:eastAsia="仿宋_GB2312" w:cs="仿宋_GB2312"/>
                <w:b/>
              </w:rPr>
              <w:t>统一社会信用代码</w:t>
            </w:r>
          </w:p>
        </w:tc>
        <w:tc>
          <w:tcPr>
            <w:tcW w:w="6571" w:type="dxa"/>
          </w:tcPr>
          <w:p>
            <w:pPr>
              <w:pStyle w:val="6"/>
              <w:rPr>
                <w:rFonts w:hint="eastAsia" w:ascii="仿宋_GB2312" w:hAnsi="仿宋_GB2312" w:eastAsia="仿宋_GB2312" w:cs="仿宋_GB2312"/>
              </w:rPr>
            </w:pPr>
            <w:r>
              <w:rPr>
                <w:rFonts w:hint="eastAsia" w:ascii="仿宋_GB2312" w:hAnsi="仿宋_GB2312" w:eastAsia="仿宋_GB2312" w:cs="仿宋_GB2312"/>
                <w:kern w:val="0"/>
                <w:lang w:eastAsia="zh-Hans"/>
              </w:rPr>
              <w:t>91520323078478282B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D8D8D8" w:themeFill="background1" w:themeFillShade="D9"/>
          </w:tcPr>
          <w:p>
            <w:pPr>
              <w:pStyle w:val="6"/>
              <w:rPr>
                <w:rFonts w:hint="eastAsia" w:ascii="仿宋_GB2312" w:hAnsi="仿宋_GB2312" w:eastAsia="仿宋_GB2312" w:cs="仿宋_GB2312"/>
                <w:b/>
              </w:rPr>
            </w:pPr>
            <w:r>
              <w:rPr>
                <w:rFonts w:hint="eastAsia" w:ascii="仿宋_GB2312" w:hAnsi="仿宋_GB2312" w:eastAsia="仿宋_GB2312" w:cs="仿宋_GB2312"/>
                <w:b/>
              </w:rPr>
              <w:t>法定代表人</w:t>
            </w:r>
          </w:p>
        </w:tc>
        <w:tc>
          <w:tcPr>
            <w:tcW w:w="6571" w:type="dxa"/>
          </w:tcPr>
          <w:p>
            <w:pPr>
              <w:pStyle w:val="6"/>
              <w:rPr>
                <w:rFonts w:hint="eastAsia" w:ascii="仿宋_GB2312" w:hAnsi="仿宋_GB2312" w:eastAsia="仿宋_GB2312" w:cs="仿宋_GB2312"/>
              </w:rPr>
            </w:pPr>
            <w:r>
              <w:rPr>
                <w:rFonts w:hint="eastAsia" w:ascii="仿宋_GB2312" w:hAnsi="仿宋_GB2312" w:eastAsia="仿宋_GB2312" w:cs="仿宋_GB2312"/>
                <w:color w:val="000000"/>
                <w:kern w:val="0"/>
                <w:u w:color="000000"/>
                <w:lang w:eastAsia="zh-Hans"/>
              </w:rPr>
              <w:t>陈曲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D8D8D8" w:themeFill="background1" w:themeFillShade="D9"/>
          </w:tcPr>
          <w:p>
            <w:pPr>
              <w:pStyle w:val="6"/>
              <w:rPr>
                <w:rFonts w:hint="eastAsia" w:ascii="仿宋_GB2312" w:hAnsi="仿宋_GB2312" w:eastAsia="仿宋_GB2312" w:cs="仿宋_GB2312"/>
                <w:b/>
              </w:rPr>
            </w:pPr>
            <w:r>
              <w:rPr>
                <w:rFonts w:hint="eastAsia" w:ascii="仿宋_GB2312" w:hAnsi="仿宋_GB2312" w:eastAsia="仿宋_GB2312" w:cs="仿宋_GB2312"/>
                <w:b/>
              </w:rPr>
              <w:t>住所</w:t>
            </w:r>
          </w:p>
        </w:tc>
        <w:tc>
          <w:tcPr>
            <w:tcW w:w="6571" w:type="dxa"/>
          </w:tcPr>
          <w:p>
            <w:pPr>
              <w:pStyle w:val="6"/>
              <w:rPr>
                <w:rFonts w:hint="eastAsia" w:ascii="仿宋_GB2312" w:hAnsi="仿宋_GB2312" w:eastAsia="仿宋_GB2312" w:cs="仿宋_GB2312"/>
              </w:rPr>
            </w:pPr>
            <w:r>
              <w:rPr>
                <w:rFonts w:hint="eastAsia" w:ascii="仿宋_GB2312" w:hAnsi="仿宋_GB2312" w:eastAsia="仿宋_GB2312" w:cs="仿宋_GB2312"/>
                <w:color w:val="000000"/>
                <w:kern w:val="0"/>
                <w:u w:color="000000"/>
                <w:lang w:eastAsia="zh-Hans"/>
              </w:rPr>
              <w:t>贵州省遵义市绥阳县蒲场镇高坊子（西部汽贸园内）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D8D8D8" w:themeFill="background1" w:themeFillShade="D9"/>
          </w:tcPr>
          <w:p>
            <w:pPr>
              <w:pStyle w:val="6"/>
              <w:rPr>
                <w:rFonts w:hint="eastAsia" w:ascii="仿宋_GB2312" w:hAnsi="仿宋_GB2312" w:eastAsia="仿宋_GB2312" w:cs="仿宋_GB2312"/>
                <w:b/>
              </w:rPr>
            </w:pPr>
            <w:r>
              <w:rPr>
                <w:rFonts w:hint="eastAsia" w:ascii="仿宋_GB2312" w:hAnsi="仿宋_GB2312" w:eastAsia="仿宋_GB2312" w:cs="仿宋_GB2312"/>
                <w:b/>
              </w:rPr>
              <w:t>注册资本</w:t>
            </w:r>
          </w:p>
        </w:tc>
        <w:tc>
          <w:tcPr>
            <w:tcW w:w="6571" w:type="dxa"/>
          </w:tcPr>
          <w:p>
            <w:pPr>
              <w:pStyle w:val="6"/>
              <w:rPr>
                <w:rFonts w:hint="eastAsia" w:ascii="仿宋_GB2312" w:hAnsi="仿宋_GB2312" w:eastAsia="仿宋_GB2312" w:cs="仿宋_GB2312"/>
              </w:rPr>
            </w:pPr>
            <w:r>
              <w:rPr>
                <w:rFonts w:hint="eastAsia" w:ascii="仿宋_GB2312" w:hAnsi="仿宋_GB2312" w:eastAsia="仿宋_GB2312" w:cs="仿宋_GB2312"/>
                <w:color w:val="000000"/>
                <w:kern w:val="0"/>
                <w:u w:color="000000"/>
                <w:lang w:eastAsia="zh-Hans"/>
              </w:rPr>
              <w:t>1000万元人民币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D8D8D8" w:themeFill="background1" w:themeFillShade="D9"/>
          </w:tcPr>
          <w:p>
            <w:pPr>
              <w:pStyle w:val="6"/>
              <w:rPr>
                <w:rFonts w:hint="eastAsia" w:ascii="仿宋_GB2312" w:hAnsi="仿宋_GB2312" w:eastAsia="仿宋_GB2312" w:cs="仿宋_GB2312"/>
                <w:b/>
              </w:rPr>
            </w:pPr>
            <w:r>
              <w:rPr>
                <w:rFonts w:hint="eastAsia" w:ascii="仿宋_GB2312" w:hAnsi="仿宋_GB2312" w:eastAsia="仿宋_GB2312" w:cs="仿宋_GB2312"/>
                <w:b/>
              </w:rPr>
              <w:t>经营范围</w:t>
            </w:r>
          </w:p>
        </w:tc>
        <w:tc>
          <w:tcPr>
            <w:tcW w:w="6571" w:type="dxa"/>
          </w:tcPr>
          <w:p>
            <w:pPr>
              <w:pStyle w:val="6"/>
              <w:rPr>
                <w:rFonts w:hint="eastAsia" w:ascii="仿宋_GB2312" w:hAnsi="仿宋_GB2312" w:eastAsia="仿宋_GB2312" w:cs="仿宋_GB2312"/>
              </w:rPr>
            </w:pPr>
            <w:r>
              <w:rPr>
                <w:rFonts w:hint="eastAsia" w:ascii="仿宋_GB2312" w:hAnsi="仿宋_GB2312" w:eastAsia="仿宋_GB2312" w:cs="仿宋_GB2312"/>
                <w:color w:val="000000"/>
                <w:kern w:val="0"/>
                <w:u w:color="000000"/>
                <w:lang w:eastAsia="zh-Hans"/>
              </w:rPr>
              <w:t>法律、法规、国务院决定规定禁止的不得经营；法律、法规、国务院决定规定应当许可（审批）的，经审批机关批准后凭许可（审批）文件经营；法律、法规、国务院决定规定无需许可（审批）的，市场主体自主选择经营。（汽车销售（不含九座以下乘用车）；汽车配件、饰品销售；汽车装饰装潢及汽车美容；汽车租赁；为具有驾驶证的人提供驾驶陪练服务、代驾服务；汽车相关业务代办；汽车信息咨询服务、二手车交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D8D8D8" w:themeFill="background1" w:themeFillShade="D9"/>
          </w:tcPr>
          <w:p>
            <w:pPr>
              <w:pStyle w:val="6"/>
              <w:rPr>
                <w:rFonts w:hint="eastAsia" w:ascii="仿宋_GB2312" w:hAnsi="仿宋_GB2312" w:eastAsia="仿宋_GB2312" w:cs="仿宋_GB2312"/>
                <w:b/>
              </w:rPr>
            </w:pPr>
            <w:r>
              <w:rPr>
                <w:rFonts w:hint="eastAsia" w:ascii="仿宋_GB2312" w:hAnsi="仿宋_GB2312" w:eastAsia="仿宋_GB2312" w:cs="仿宋_GB2312"/>
                <w:b/>
              </w:rPr>
              <w:t>企业登记状态</w:t>
            </w:r>
          </w:p>
        </w:tc>
        <w:tc>
          <w:tcPr>
            <w:tcW w:w="6571" w:type="dxa"/>
          </w:tcPr>
          <w:p>
            <w:pPr>
              <w:pStyle w:val="6"/>
              <w:rPr>
                <w:rFonts w:hint="eastAsia" w:ascii="仿宋_GB2312" w:hAnsi="仿宋_GB2312" w:eastAsia="仿宋_GB2312" w:cs="仿宋_GB2312"/>
              </w:rPr>
            </w:pPr>
            <w:r>
              <w:rPr>
                <w:rFonts w:hint="eastAsia" w:ascii="仿宋_GB2312" w:hAnsi="仿宋_GB2312" w:eastAsia="仿宋_GB2312" w:cs="仿宋_GB2312"/>
                <w:color w:val="000000"/>
                <w:kern w:val="0"/>
                <w:u w:color="000000"/>
                <w:lang w:val="zh-TW" w:eastAsia="zh-TW"/>
              </w:rPr>
              <w:t>存续（在营、开业、在册）</w:t>
            </w:r>
          </w:p>
        </w:tc>
      </w:tr>
    </w:tbl>
    <w:p>
      <w:pPr>
        <w:ind w:firstLine="640"/>
        <w:rPr>
          <w:rFonts w:hint="eastAsia" w:ascii="楷体" w:hAnsi="楷体" w:eastAsia="楷体" w:cs="楷体"/>
          <w:szCs w:val="32"/>
        </w:rPr>
      </w:pPr>
      <w:r>
        <w:rPr>
          <w:rFonts w:hint="eastAsia" w:ascii="楷体" w:hAnsi="楷体" w:eastAsia="楷体" w:cs="楷体"/>
          <w:szCs w:val="32"/>
          <w:lang w:eastAsia="zh-CN"/>
        </w:rPr>
        <w:t>（</w:t>
      </w:r>
      <w:r>
        <w:rPr>
          <w:rFonts w:hint="eastAsia" w:ascii="楷体" w:hAnsi="楷体" w:eastAsia="楷体" w:cs="楷体"/>
          <w:szCs w:val="32"/>
          <w:lang w:val="en-US" w:eastAsia="zh-CN"/>
        </w:rPr>
        <w:t>二</w:t>
      </w:r>
      <w:r>
        <w:rPr>
          <w:rFonts w:hint="eastAsia" w:ascii="楷体" w:hAnsi="楷体" w:eastAsia="楷体" w:cs="楷体"/>
          <w:szCs w:val="32"/>
          <w:lang w:eastAsia="zh-CN"/>
        </w:rPr>
        <w:t>）</w:t>
      </w:r>
      <w:r>
        <w:rPr>
          <w:rFonts w:hint="eastAsia" w:ascii="楷体" w:hAnsi="楷体" w:eastAsia="楷体" w:cs="楷体"/>
          <w:szCs w:val="32"/>
        </w:rPr>
        <w:t>股权结构及出资情况</w:t>
      </w:r>
    </w:p>
    <w:tbl>
      <w:tblPr>
        <w:tblStyle w:val="7"/>
        <w:tblW w:w="8458" w:type="dxa"/>
        <w:tblInd w:w="0"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324"/>
        <w:gridCol w:w="1807"/>
        <w:gridCol w:w="1275"/>
        <w:gridCol w:w="1709"/>
        <w:gridCol w:w="1335"/>
        <w:gridCol w:w="1008"/>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23" w:hRule="atLeast"/>
        </w:trPr>
        <w:tc>
          <w:tcPr>
            <w:tcW w:w="1324" w:type="dxa"/>
            <w:tcBorders>
              <w:top w:val="single" w:color="000000" w:sz="4" w:space="0"/>
              <w:left w:val="single" w:color="000000" w:sz="4" w:space="0"/>
              <w:bottom w:val="single" w:color="000000" w:sz="4" w:space="0"/>
              <w:right w:val="single" w:color="000000" w:sz="4" w:space="0"/>
            </w:tcBorders>
            <w:shd w:val="clear" w:color="auto" w:fill="D7D7D7"/>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u w:color="000000"/>
                <w:lang w:eastAsia="en-US"/>
              </w:rPr>
            </w:pPr>
            <w:r>
              <w:rPr>
                <w:rFonts w:hint="eastAsia" w:ascii="仿宋_GB2312" w:hAnsi="仿宋_GB2312" w:eastAsia="仿宋_GB2312" w:cs="仿宋_GB2312"/>
                <w:b/>
                <w:bCs/>
                <w:sz w:val="21"/>
                <w:szCs w:val="21"/>
                <w:u w:color="000000"/>
                <w:lang w:val="zh-TW" w:eastAsia="zh-TW"/>
              </w:rPr>
              <w:t>股东</w:t>
            </w:r>
            <w:r>
              <w:rPr>
                <w:rFonts w:hint="eastAsia" w:ascii="仿宋_GB2312" w:hAnsi="仿宋_GB2312" w:eastAsia="仿宋_GB2312" w:cs="仿宋_GB2312"/>
                <w:b/>
                <w:bCs/>
                <w:sz w:val="21"/>
                <w:szCs w:val="21"/>
                <w:u w:color="000000"/>
                <w:lang w:eastAsia="zh-Hans"/>
              </w:rPr>
              <w:t>名称</w:t>
            </w:r>
          </w:p>
        </w:tc>
        <w:tc>
          <w:tcPr>
            <w:tcW w:w="1807" w:type="dxa"/>
            <w:tcBorders>
              <w:top w:val="single" w:color="000000" w:sz="4" w:space="0"/>
              <w:left w:val="single" w:color="000000" w:sz="4" w:space="0"/>
              <w:bottom w:val="single" w:color="000000" w:sz="4" w:space="0"/>
              <w:right w:val="single" w:color="000000" w:sz="4" w:space="0"/>
            </w:tcBorders>
            <w:shd w:val="clear" w:color="auto" w:fill="D7D7D7"/>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u w:color="000000"/>
                <w:lang w:eastAsia="zh-Hans"/>
              </w:rPr>
            </w:pPr>
            <w:r>
              <w:rPr>
                <w:rFonts w:hint="eastAsia" w:ascii="仿宋_GB2312" w:hAnsi="仿宋_GB2312" w:eastAsia="仿宋_GB2312" w:cs="仿宋_GB2312"/>
                <w:b/>
                <w:bCs/>
                <w:sz w:val="21"/>
                <w:szCs w:val="21"/>
                <w:u w:color="000000"/>
                <w:lang w:eastAsia="zh-Hans"/>
              </w:rPr>
              <w:t>认缴金额（万元）</w:t>
            </w:r>
          </w:p>
        </w:tc>
        <w:tc>
          <w:tcPr>
            <w:tcW w:w="1275" w:type="dxa"/>
            <w:tcBorders>
              <w:top w:val="single" w:color="000000" w:sz="4" w:space="0"/>
              <w:left w:val="single" w:color="000000" w:sz="4" w:space="0"/>
              <w:bottom w:val="single" w:color="000000" w:sz="4" w:space="0"/>
              <w:right w:val="single" w:color="000000" w:sz="4" w:space="0"/>
            </w:tcBorders>
            <w:shd w:val="clear" w:color="auto" w:fill="D7D7D7"/>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u w:color="000000"/>
                <w:lang w:eastAsia="zh-Hans"/>
              </w:rPr>
            </w:pPr>
            <w:r>
              <w:rPr>
                <w:rFonts w:hint="eastAsia" w:ascii="仿宋_GB2312" w:hAnsi="仿宋_GB2312" w:eastAsia="仿宋_GB2312" w:cs="仿宋_GB2312"/>
                <w:b/>
                <w:bCs/>
                <w:sz w:val="21"/>
                <w:szCs w:val="21"/>
                <w:u w:color="000000"/>
                <w:lang w:eastAsia="zh-Hans"/>
              </w:rPr>
              <w:t>认缴时间</w:t>
            </w:r>
          </w:p>
        </w:tc>
        <w:tc>
          <w:tcPr>
            <w:tcW w:w="1709" w:type="dxa"/>
            <w:tcBorders>
              <w:top w:val="single" w:color="000000" w:sz="4" w:space="0"/>
              <w:left w:val="single" w:color="000000" w:sz="4" w:space="0"/>
              <w:bottom w:val="single" w:color="000000" w:sz="4" w:space="0"/>
              <w:right w:val="single" w:color="000000" w:sz="4" w:space="0"/>
            </w:tcBorders>
            <w:shd w:val="clear" w:color="auto" w:fill="D7D7D7"/>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u w:color="000000"/>
                <w:lang w:eastAsia="zh-Hans"/>
              </w:rPr>
            </w:pPr>
            <w:r>
              <w:rPr>
                <w:rFonts w:hint="eastAsia" w:ascii="仿宋_GB2312" w:hAnsi="仿宋_GB2312" w:eastAsia="仿宋_GB2312" w:cs="仿宋_GB2312"/>
                <w:b/>
                <w:bCs/>
                <w:sz w:val="21"/>
                <w:szCs w:val="21"/>
                <w:u w:color="000000"/>
                <w:lang w:eastAsia="zh-Hans"/>
              </w:rPr>
              <w:t>实缴金额（万元）</w:t>
            </w:r>
          </w:p>
        </w:tc>
        <w:tc>
          <w:tcPr>
            <w:tcW w:w="1335" w:type="dxa"/>
            <w:tcBorders>
              <w:top w:val="single" w:color="000000" w:sz="4" w:space="0"/>
              <w:left w:val="single" w:color="000000" w:sz="4" w:space="0"/>
              <w:bottom w:val="single" w:color="000000" w:sz="4" w:space="0"/>
              <w:right w:val="single" w:color="000000" w:sz="4" w:space="0"/>
            </w:tcBorders>
            <w:shd w:val="clear" w:color="auto" w:fill="D7D7D7"/>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u w:color="000000"/>
                <w:lang w:eastAsia="zh-Hans"/>
              </w:rPr>
            </w:pPr>
            <w:r>
              <w:rPr>
                <w:rFonts w:hint="eastAsia" w:ascii="仿宋_GB2312" w:hAnsi="仿宋_GB2312" w:eastAsia="仿宋_GB2312" w:cs="仿宋_GB2312"/>
                <w:b/>
                <w:bCs/>
                <w:sz w:val="21"/>
                <w:szCs w:val="21"/>
                <w:u w:color="000000"/>
                <w:lang w:eastAsia="zh-Hans"/>
              </w:rPr>
              <w:t>实缴时间</w:t>
            </w:r>
          </w:p>
        </w:tc>
        <w:tc>
          <w:tcPr>
            <w:tcW w:w="1008" w:type="dxa"/>
            <w:tcBorders>
              <w:top w:val="single" w:color="000000" w:sz="4" w:space="0"/>
              <w:left w:val="single" w:color="000000" w:sz="4" w:space="0"/>
              <w:bottom w:val="single" w:color="000000" w:sz="4" w:space="0"/>
              <w:right w:val="single" w:color="000000" w:sz="4" w:space="0"/>
            </w:tcBorders>
            <w:shd w:val="clear" w:color="auto" w:fill="D7D7D7"/>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u w:color="000000"/>
                <w:lang w:eastAsia="zh-Hans"/>
              </w:rPr>
            </w:pPr>
            <w:r>
              <w:rPr>
                <w:rFonts w:hint="eastAsia" w:ascii="仿宋_GB2312" w:hAnsi="仿宋_GB2312" w:eastAsia="仿宋_GB2312" w:cs="仿宋_GB2312"/>
                <w:b/>
                <w:bCs/>
                <w:sz w:val="21"/>
                <w:szCs w:val="21"/>
                <w:u w:color="000000"/>
                <w:lang w:eastAsia="zh-Hans"/>
              </w:rPr>
              <w:t>持股比例</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3" w:hRule="atLeast"/>
        </w:trPr>
        <w:tc>
          <w:tcPr>
            <w:tcW w:w="132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sz w:val="21"/>
                <w:szCs w:val="21"/>
                <w:lang w:eastAsia="en-US"/>
              </w:rPr>
            </w:pPr>
            <w:r>
              <w:rPr>
                <w:rFonts w:hint="eastAsia" w:ascii="仿宋_GB2312" w:hAnsi="仿宋_GB2312" w:eastAsia="仿宋_GB2312" w:cs="仿宋_GB2312"/>
                <w:sz w:val="21"/>
                <w:szCs w:val="21"/>
                <w:lang w:eastAsia="zh-CN"/>
              </w:rPr>
              <w:t>陈曲</w:t>
            </w:r>
          </w:p>
        </w:tc>
        <w:tc>
          <w:tcPr>
            <w:tcW w:w="180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sz w:val="21"/>
                <w:szCs w:val="21"/>
                <w:lang w:eastAsia="en-US"/>
              </w:rPr>
            </w:pPr>
            <w:r>
              <w:rPr>
                <w:rFonts w:hint="eastAsia" w:ascii="仿宋_GB2312" w:hAnsi="仿宋_GB2312" w:eastAsia="仿宋_GB2312" w:cs="仿宋_GB2312"/>
                <w:sz w:val="21"/>
                <w:szCs w:val="21"/>
                <w:lang w:eastAsia="en-US"/>
              </w:rPr>
              <w:t>900</w:t>
            </w: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sz w:val="21"/>
                <w:szCs w:val="21"/>
                <w:lang w:eastAsia="en-US"/>
              </w:rPr>
            </w:pPr>
            <w:r>
              <w:rPr>
                <w:rFonts w:hint="eastAsia" w:ascii="仿宋_GB2312" w:hAnsi="仿宋_GB2312" w:eastAsia="仿宋_GB2312" w:cs="仿宋_GB2312"/>
                <w:sz w:val="21"/>
                <w:szCs w:val="21"/>
                <w:lang w:eastAsia="en-US"/>
              </w:rPr>
              <w:t>2013-09-22</w:t>
            </w:r>
          </w:p>
        </w:tc>
        <w:tc>
          <w:tcPr>
            <w:tcW w:w="170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sz w:val="21"/>
                <w:szCs w:val="21"/>
                <w:lang w:eastAsia="en-US"/>
              </w:rPr>
            </w:pPr>
            <w:r>
              <w:rPr>
                <w:rFonts w:hint="eastAsia" w:ascii="仿宋_GB2312" w:hAnsi="仿宋_GB2312" w:eastAsia="仿宋_GB2312" w:cs="仿宋_GB2312"/>
                <w:sz w:val="21"/>
                <w:szCs w:val="21"/>
                <w:lang w:eastAsia="en-US"/>
              </w:rPr>
              <w:t>/</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sz w:val="21"/>
                <w:szCs w:val="21"/>
                <w:lang w:eastAsia="en-US"/>
              </w:rPr>
            </w:pPr>
            <w:r>
              <w:rPr>
                <w:rFonts w:hint="eastAsia" w:ascii="仿宋_GB2312" w:hAnsi="仿宋_GB2312" w:eastAsia="仿宋_GB2312" w:cs="仿宋_GB2312"/>
                <w:sz w:val="21"/>
                <w:szCs w:val="21"/>
                <w:lang w:eastAsia="en-US"/>
              </w:rPr>
              <w:t>/</w:t>
            </w: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sz w:val="21"/>
                <w:szCs w:val="21"/>
                <w:lang w:eastAsia="en-US"/>
              </w:rPr>
            </w:pPr>
            <w:r>
              <w:rPr>
                <w:rFonts w:hint="eastAsia" w:ascii="仿宋_GB2312" w:hAnsi="仿宋_GB2312" w:eastAsia="仿宋_GB2312" w:cs="仿宋_GB2312"/>
                <w:sz w:val="21"/>
                <w:szCs w:val="21"/>
                <w:lang w:eastAsia="en-US"/>
              </w:rPr>
              <w:t>90%</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3" w:hRule="atLeast"/>
        </w:trPr>
        <w:tc>
          <w:tcPr>
            <w:tcW w:w="132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陈晨</w:t>
            </w:r>
          </w:p>
        </w:tc>
        <w:tc>
          <w:tcPr>
            <w:tcW w:w="180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sz w:val="21"/>
                <w:szCs w:val="21"/>
                <w:lang w:eastAsia="en-US"/>
              </w:rPr>
            </w:pPr>
            <w:r>
              <w:rPr>
                <w:rFonts w:hint="eastAsia" w:ascii="仿宋_GB2312" w:hAnsi="仿宋_GB2312" w:eastAsia="仿宋_GB2312" w:cs="仿宋_GB2312"/>
                <w:sz w:val="21"/>
                <w:szCs w:val="21"/>
                <w:lang w:eastAsia="en-US"/>
              </w:rPr>
              <w:t>100</w:t>
            </w: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sz w:val="21"/>
                <w:szCs w:val="21"/>
                <w:lang w:eastAsia="en-US"/>
              </w:rPr>
            </w:pPr>
            <w:r>
              <w:rPr>
                <w:rFonts w:hint="eastAsia" w:ascii="仿宋_GB2312" w:hAnsi="仿宋_GB2312" w:eastAsia="仿宋_GB2312" w:cs="仿宋_GB2312"/>
                <w:sz w:val="21"/>
                <w:szCs w:val="21"/>
                <w:lang w:eastAsia="en-US"/>
              </w:rPr>
              <w:t>2016-12-30</w:t>
            </w:r>
          </w:p>
        </w:tc>
        <w:tc>
          <w:tcPr>
            <w:tcW w:w="170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sz w:val="21"/>
                <w:szCs w:val="21"/>
                <w:lang w:eastAsia="en-US"/>
              </w:rPr>
            </w:pPr>
            <w:r>
              <w:rPr>
                <w:rFonts w:hint="eastAsia" w:ascii="仿宋_GB2312" w:hAnsi="仿宋_GB2312" w:eastAsia="仿宋_GB2312" w:cs="仿宋_GB2312"/>
                <w:sz w:val="21"/>
                <w:szCs w:val="21"/>
                <w:lang w:eastAsia="en-US"/>
              </w:rPr>
              <w:t>/</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sz w:val="21"/>
                <w:szCs w:val="21"/>
                <w:lang w:eastAsia="en-US"/>
              </w:rPr>
            </w:pPr>
            <w:r>
              <w:rPr>
                <w:rFonts w:hint="eastAsia" w:ascii="仿宋_GB2312" w:hAnsi="仿宋_GB2312" w:eastAsia="仿宋_GB2312" w:cs="仿宋_GB2312"/>
                <w:sz w:val="21"/>
                <w:szCs w:val="21"/>
                <w:lang w:eastAsia="en-US"/>
              </w:rPr>
              <w:t>/</w:t>
            </w: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sz w:val="21"/>
                <w:szCs w:val="21"/>
                <w:lang w:eastAsia="en-US"/>
              </w:rPr>
            </w:pPr>
            <w:r>
              <w:rPr>
                <w:rFonts w:hint="eastAsia" w:ascii="仿宋_GB2312" w:hAnsi="仿宋_GB2312" w:eastAsia="仿宋_GB2312" w:cs="仿宋_GB2312"/>
                <w:sz w:val="21"/>
                <w:szCs w:val="21"/>
                <w:lang w:eastAsia="en-US"/>
              </w:rPr>
              <w:t>10%</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3" w:hRule="atLeast"/>
        </w:trPr>
        <w:tc>
          <w:tcPr>
            <w:tcW w:w="132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lang w:eastAsia="en-US"/>
              </w:rPr>
            </w:pPr>
            <w:r>
              <w:rPr>
                <w:rFonts w:hint="eastAsia" w:ascii="仿宋_GB2312" w:hAnsi="仿宋_GB2312" w:eastAsia="仿宋_GB2312" w:cs="仿宋_GB2312"/>
                <w:b/>
                <w:bCs/>
                <w:sz w:val="21"/>
                <w:szCs w:val="21"/>
                <w:lang w:eastAsia="en-US"/>
              </w:rPr>
              <w:t>合计</w:t>
            </w:r>
          </w:p>
        </w:tc>
        <w:tc>
          <w:tcPr>
            <w:tcW w:w="180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lang w:eastAsia="en-US"/>
              </w:rPr>
            </w:pPr>
            <w:r>
              <w:rPr>
                <w:rFonts w:hint="eastAsia" w:ascii="仿宋_GB2312" w:hAnsi="仿宋_GB2312" w:eastAsia="仿宋_GB2312" w:cs="仿宋_GB2312"/>
                <w:b/>
                <w:bCs/>
                <w:sz w:val="21"/>
                <w:szCs w:val="21"/>
                <w:lang w:eastAsia="en-US"/>
              </w:rPr>
              <w:t>1000</w:t>
            </w: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lang w:eastAsia="en-US"/>
              </w:rPr>
            </w:pPr>
            <w:r>
              <w:rPr>
                <w:rFonts w:hint="eastAsia" w:ascii="仿宋_GB2312" w:hAnsi="仿宋_GB2312" w:eastAsia="仿宋_GB2312" w:cs="仿宋_GB2312"/>
                <w:b/>
                <w:bCs/>
                <w:sz w:val="21"/>
                <w:szCs w:val="21"/>
                <w:lang w:eastAsia="en-US"/>
              </w:rPr>
              <w:t>/</w:t>
            </w:r>
          </w:p>
        </w:tc>
        <w:tc>
          <w:tcPr>
            <w:tcW w:w="1709"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lang w:eastAsia="en-US"/>
              </w:rPr>
            </w:pPr>
            <w:r>
              <w:rPr>
                <w:rFonts w:hint="eastAsia" w:ascii="仿宋_GB2312" w:hAnsi="仿宋_GB2312" w:eastAsia="仿宋_GB2312" w:cs="仿宋_GB2312"/>
                <w:b/>
                <w:bCs/>
                <w:sz w:val="21"/>
                <w:szCs w:val="21"/>
                <w:lang w:eastAsia="en-US"/>
              </w:rPr>
              <w:t>/</w:t>
            </w:r>
          </w:p>
        </w:tc>
        <w:tc>
          <w:tcPr>
            <w:tcW w:w="1335"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sz w:val="21"/>
                <w:szCs w:val="21"/>
                <w:lang w:eastAsia="en-US"/>
              </w:rPr>
            </w:pPr>
            <w:r>
              <w:rPr>
                <w:rFonts w:hint="eastAsia" w:ascii="仿宋_GB2312" w:hAnsi="仿宋_GB2312" w:eastAsia="仿宋_GB2312" w:cs="仿宋_GB2312"/>
                <w:b/>
                <w:bCs/>
                <w:sz w:val="21"/>
                <w:szCs w:val="21"/>
                <w:lang w:eastAsia="en-US"/>
              </w:rPr>
              <w:t>/</w:t>
            </w: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lang w:eastAsia="en-US"/>
              </w:rPr>
            </w:pPr>
            <w:r>
              <w:rPr>
                <w:rFonts w:hint="eastAsia" w:ascii="仿宋_GB2312" w:hAnsi="仿宋_GB2312" w:eastAsia="仿宋_GB2312" w:cs="仿宋_GB2312"/>
                <w:b/>
                <w:bCs/>
                <w:sz w:val="21"/>
                <w:szCs w:val="21"/>
                <w:lang w:eastAsia="en-US"/>
              </w:rPr>
              <w:t>100%</w:t>
            </w:r>
          </w:p>
        </w:tc>
      </w:tr>
    </w:tbl>
    <w:p>
      <w:pPr>
        <w:ind w:firstLine="640"/>
        <w:rPr>
          <w:rFonts w:hint="eastAsia" w:ascii="楷体" w:hAnsi="楷体" w:eastAsia="楷体" w:cs="楷体"/>
          <w:szCs w:val="32"/>
        </w:rPr>
      </w:pPr>
      <w:r>
        <w:rPr>
          <w:rFonts w:hint="eastAsia" w:ascii="楷体" w:hAnsi="楷体" w:eastAsia="楷体" w:cs="楷体"/>
          <w:szCs w:val="32"/>
          <w:lang w:eastAsia="zh-CN"/>
        </w:rPr>
        <w:t>（</w:t>
      </w:r>
      <w:r>
        <w:rPr>
          <w:rFonts w:hint="eastAsia" w:ascii="楷体" w:hAnsi="楷体" w:eastAsia="楷体" w:cs="楷体"/>
          <w:szCs w:val="32"/>
          <w:lang w:val="en-US" w:eastAsia="zh-CN"/>
        </w:rPr>
        <w:t>三</w:t>
      </w:r>
      <w:r>
        <w:rPr>
          <w:rFonts w:hint="eastAsia" w:ascii="楷体" w:hAnsi="楷体" w:eastAsia="楷体" w:cs="楷体"/>
          <w:szCs w:val="32"/>
          <w:lang w:eastAsia="zh-CN"/>
        </w:rPr>
        <w:t>）</w:t>
      </w:r>
      <w:r>
        <w:rPr>
          <w:rFonts w:hint="eastAsia" w:ascii="楷体" w:hAnsi="楷体" w:eastAsia="楷体" w:cs="楷体"/>
          <w:szCs w:val="32"/>
        </w:rPr>
        <w:t>涉诉及执行情况</w:t>
      </w:r>
    </w:p>
    <w:tbl>
      <w:tblPr>
        <w:tblStyle w:val="3"/>
        <w:tblW w:w="91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40"/>
        <w:gridCol w:w="917"/>
        <w:gridCol w:w="1855"/>
        <w:gridCol w:w="1560"/>
        <w:gridCol w:w="171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80" w:type="dxa"/>
            <w:shd w:val="clear" w:color="auto" w:fill="BEBEBE" w:themeFill="background1" w:themeFillShade="BF"/>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序号</w:t>
            </w:r>
          </w:p>
        </w:tc>
        <w:tc>
          <w:tcPr>
            <w:tcW w:w="1040" w:type="dxa"/>
            <w:shd w:val="clear" w:color="auto" w:fill="BEBEBE" w:themeFill="background1" w:themeFillShade="BF"/>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被执行人</w:t>
            </w:r>
          </w:p>
        </w:tc>
        <w:tc>
          <w:tcPr>
            <w:tcW w:w="917" w:type="dxa"/>
            <w:shd w:val="clear" w:color="auto" w:fill="BEBEBE" w:themeFill="background1" w:themeFillShade="BF"/>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案件类型</w:t>
            </w:r>
          </w:p>
        </w:tc>
        <w:tc>
          <w:tcPr>
            <w:tcW w:w="1855" w:type="dxa"/>
            <w:shd w:val="clear" w:color="auto" w:fill="BEBEBE" w:themeFill="background1" w:themeFillShade="BF"/>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案号</w:t>
            </w:r>
          </w:p>
        </w:tc>
        <w:tc>
          <w:tcPr>
            <w:tcW w:w="1560" w:type="dxa"/>
            <w:shd w:val="clear" w:color="auto" w:fill="BEBEBE" w:themeFill="background1" w:themeFillShade="BF"/>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标的</w:t>
            </w:r>
          </w:p>
        </w:tc>
        <w:tc>
          <w:tcPr>
            <w:tcW w:w="1710" w:type="dxa"/>
            <w:shd w:val="clear" w:color="auto" w:fill="BEBEBE" w:themeFill="background1" w:themeFillShade="BF"/>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法院</w:t>
            </w:r>
          </w:p>
        </w:tc>
        <w:tc>
          <w:tcPr>
            <w:tcW w:w="1559" w:type="dxa"/>
            <w:shd w:val="clear" w:color="auto" w:fill="BEBEBE" w:themeFill="background1" w:themeFillShade="BF"/>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立案时间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8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104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悦众汽车</w:t>
            </w:r>
          </w:p>
        </w:tc>
        <w:tc>
          <w:tcPr>
            <w:tcW w:w="917"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执行</w:t>
            </w:r>
          </w:p>
        </w:tc>
        <w:tc>
          <w:tcPr>
            <w:tcW w:w="1855"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（2022）黔0303执6583号</w:t>
            </w:r>
          </w:p>
        </w:tc>
        <w:tc>
          <w:tcPr>
            <w:tcW w:w="156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2237011.00</w:t>
            </w:r>
          </w:p>
        </w:tc>
        <w:tc>
          <w:tcPr>
            <w:tcW w:w="1710" w:type="dxa"/>
            <w:shd w:val="clear" w:color="auto" w:fill="auto"/>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汇川区人民法院</w:t>
            </w:r>
          </w:p>
        </w:tc>
        <w:tc>
          <w:tcPr>
            <w:tcW w:w="1559"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2022-12-29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8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104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悦众汽车</w:t>
            </w:r>
          </w:p>
        </w:tc>
        <w:tc>
          <w:tcPr>
            <w:tcW w:w="917"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执行</w:t>
            </w:r>
          </w:p>
        </w:tc>
        <w:tc>
          <w:tcPr>
            <w:tcW w:w="1855"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（2022）黔03执410号</w:t>
            </w:r>
          </w:p>
        </w:tc>
        <w:tc>
          <w:tcPr>
            <w:tcW w:w="156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26831636.00</w:t>
            </w:r>
          </w:p>
        </w:tc>
        <w:tc>
          <w:tcPr>
            <w:tcW w:w="1710" w:type="dxa"/>
            <w:shd w:val="clear" w:color="auto" w:fill="auto"/>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遵义市中级人民法院</w:t>
            </w:r>
          </w:p>
        </w:tc>
        <w:tc>
          <w:tcPr>
            <w:tcW w:w="1559"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2022-05-17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8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104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悦众汽车</w:t>
            </w:r>
          </w:p>
        </w:tc>
        <w:tc>
          <w:tcPr>
            <w:tcW w:w="917"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执行</w:t>
            </w:r>
          </w:p>
        </w:tc>
        <w:tc>
          <w:tcPr>
            <w:tcW w:w="1855"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（2021）黔0103执20877号</w:t>
            </w:r>
          </w:p>
        </w:tc>
        <w:tc>
          <w:tcPr>
            <w:tcW w:w="156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207121.00</w:t>
            </w:r>
          </w:p>
        </w:tc>
        <w:tc>
          <w:tcPr>
            <w:tcW w:w="1710" w:type="dxa"/>
            <w:shd w:val="clear" w:color="auto" w:fill="auto"/>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云岩区人民法院</w:t>
            </w:r>
          </w:p>
        </w:tc>
        <w:tc>
          <w:tcPr>
            <w:tcW w:w="1559"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2021-11-15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8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104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悦众汽车</w:t>
            </w:r>
          </w:p>
        </w:tc>
        <w:tc>
          <w:tcPr>
            <w:tcW w:w="917"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执行</w:t>
            </w:r>
          </w:p>
        </w:tc>
        <w:tc>
          <w:tcPr>
            <w:tcW w:w="1855"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（2019）黔0103执1014号</w:t>
            </w:r>
          </w:p>
        </w:tc>
        <w:tc>
          <w:tcPr>
            <w:tcW w:w="156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2885518.00</w:t>
            </w:r>
          </w:p>
        </w:tc>
        <w:tc>
          <w:tcPr>
            <w:tcW w:w="1710" w:type="dxa"/>
            <w:shd w:val="clear" w:color="auto" w:fill="auto"/>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云岩区人民法院</w:t>
            </w:r>
          </w:p>
        </w:tc>
        <w:tc>
          <w:tcPr>
            <w:tcW w:w="1559"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2019-12-12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48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w:t>
            </w:r>
          </w:p>
        </w:tc>
        <w:tc>
          <w:tcPr>
            <w:tcW w:w="104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悦众汽车</w:t>
            </w:r>
          </w:p>
        </w:tc>
        <w:tc>
          <w:tcPr>
            <w:tcW w:w="917"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执行</w:t>
            </w:r>
          </w:p>
        </w:tc>
        <w:tc>
          <w:tcPr>
            <w:tcW w:w="1855"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（2017）黔0323执497号</w:t>
            </w:r>
          </w:p>
        </w:tc>
        <w:tc>
          <w:tcPr>
            <w:tcW w:w="156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5384243.00</w:t>
            </w:r>
          </w:p>
        </w:tc>
        <w:tc>
          <w:tcPr>
            <w:tcW w:w="1710" w:type="dxa"/>
            <w:shd w:val="clear" w:color="auto" w:fill="auto"/>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绥阳县人民法院</w:t>
            </w:r>
          </w:p>
        </w:tc>
        <w:tc>
          <w:tcPr>
            <w:tcW w:w="1559"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2017-06-20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48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104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悦众汽车</w:t>
            </w:r>
          </w:p>
        </w:tc>
        <w:tc>
          <w:tcPr>
            <w:tcW w:w="917"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执行</w:t>
            </w:r>
          </w:p>
        </w:tc>
        <w:tc>
          <w:tcPr>
            <w:tcW w:w="1855"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（2017）黔0303执835号</w:t>
            </w:r>
          </w:p>
        </w:tc>
        <w:tc>
          <w:tcPr>
            <w:tcW w:w="1560"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30000.00</w:t>
            </w:r>
          </w:p>
        </w:tc>
        <w:tc>
          <w:tcPr>
            <w:tcW w:w="1710" w:type="dxa"/>
            <w:shd w:val="clear" w:color="auto" w:fill="auto"/>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汇川区人民法院</w:t>
            </w:r>
          </w:p>
        </w:tc>
        <w:tc>
          <w:tcPr>
            <w:tcW w:w="1559" w:type="dxa"/>
            <w:shd w:val="clear" w:color="auto" w:fill="auto"/>
            <w:noWrap/>
            <w:vAlign w:val="center"/>
          </w:tcPr>
          <w:p>
            <w:pPr>
              <w:snapToGrid w:val="0"/>
              <w:spacing w:line="240" w:lineRule="auto"/>
              <w:ind w:firstLine="0"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2017-04-29</w:t>
            </w:r>
          </w:p>
        </w:tc>
      </w:tr>
    </w:tbl>
    <w:p>
      <w:pPr>
        <w:ind w:firstLine="640"/>
        <w:rPr>
          <w:rFonts w:hint="eastAsia" w:ascii="楷体" w:hAnsi="楷体" w:eastAsia="楷体" w:cs="楷体"/>
          <w:szCs w:val="32"/>
        </w:rPr>
      </w:pPr>
      <w:r>
        <w:rPr>
          <w:rFonts w:hint="eastAsia" w:ascii="楷体" w:hAnsi="楷体" w:eastAsia="楷体" w:cs="楷体"/>
          <w:szCs w:val="32"/>
          <w:lang w:eastAsia="zh-CN"/>
        </w:rPr>
        <w:t>（</w:t>
      </w:r>
      <w:r>
        <w:rPr>
          <w:rFonts w:hint="eastAsia" w:ascii="楷体" w:hAnsi="楷体" w:eastAsia="楷体" w:cs="楷体"/>
          <w:szCs w:val="32"/>
          <w:lang w:val="en-US" w:eastAsia="zh-CN"/>
        </w:rPr>
        <w:t>四</w:t>
      </w:r>
      <w:r>
        <w:rPr>
          <w:rFonts w:hint="eastAsia" w:ascii="楷体" w:hAnsi="楷体" w:eastAsia="楷体" w:cs="楷体"/>
          <w:szCs w:val="32"/>
          <w:lang w:eastAsia="zh-CN"/>
        </w:rPr>
        <w:t>）</w:t>
      </w:r>
      <w:r>
        <w:rPr>
          <w:rFonts w:hint="eastAsia" w:ascii="楷体" w:hAnsi="楷体" w:eastAsia="楷体" w:cs="楷体"/>
          <w:szCs w:val="32"/>
        </w:rPr>
        <w:t>股权质押及冻结情况</w:t>
      </w:r>
    </w:p>
    <w:p>
      <w:pPr>
        <w:ind w:firstLine="640"/>
        <w:rPr>
          <w:rFonts w:hint="eastAsia" w:ascii="仿宋_GB2312" w:hAnsi="仿宋_GB2312" w:eastAsia="仿宋_GB2312" w:cs="仿宋_GB2312"/>
          <w:szCs w:val="32"/>
        </w:rPr>
      </w:pPr>
      <w:r>
        <w:rPr>
          <w:rFonts w:hint="eastAsia" w:ascii="仿宋_GB2312" w:hAnsi="仿宋_GB2312" w:eastAsia="仿宋_GB2312" w:cs="仿宋_GB2312"/>
          <w:szCs w:val="32"/>
          <w:lang w:val="en-US" w:eastAsia="zh-CN"/>
        </w:rPr>
        <w:t>1.</w:t>
      </w:r>
      <w:r>
        <w:rPr>
          <w:rFonts w:hint="eastAsia" w:ascii="仿宋_GB2312" w:hAnsi="仿宋_GB2312" w:eastAsia="仿宋_GB2312" w:cs="仿宋_GB2312"/>
          <w:szCs w:val="32"/>
        </w:rPr>
        <w:t>股权质押情况</w:t>
      </w:r>
    </w:p>
    <w:tbl>
      <w:tblPr>
        <w:tblStyle w:val="7"/>
        <w:tblW w:w="84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Layout w:type="fixed"/>
        <w:tblCellMar>
          <w:top w:w="0" w:type="dxa"/>
          <w:left w:w="0" w:type="dxa"/>
          <w:bottom w:w="0" w:type="dxa"/>
          <w:right w:w="0" w:type="dxa"/>
        </w:tblCellMar>
      </w:tblPr>
      <w:tblGrid>
        <w:gridCol w:w="948"/>
        <w:gridCol w:w="1099"/>
        <w:gridCol w:w="2271"/>
        <w:gridCol w:w="1759"/>
        <w:gridCol w:w="1211"/>
        <w:gridCol w:w="1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23" w:hRule="atLeast"/>
          <w:jc w:val="center"/>
        </w:trPr>
        <w:tc>
          <w:tcPr>
            <w:tcW w:w="948" w:type="dxa"/>
            <w:shd w:val="clear" w:color="auto" w:fill="D7D7D7"/>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u w:color="000000"/>
                <w:lang w:eastAsia="zh-Hans"/>
              </w:rPr>
            </w:pPr>
            <w:r>
              <w:rPr>
                <w:rFonts w:hint="eastAsia" w:ascii="仿宋_GB2312" w:hAnsi="仿宋_GB2312" w:eastAsia="仿宋_GB2312" w:cs="仿宋_GB2312"/>
                <w:b/>
                <w:bCs/>
                <w:sz w:val="21"/>
                <w:szCs w:val="21"/>
                <w:u w:color="000000"/>
                <w:lang w:eastAsia="zh-Hans"/>
              </w:rPr>
              <w:t>出质人</w:t>
            </w:r>
          </w:p>
        </w:tc>
        <w:tc>
          <w:tcPr>
            <w:tcW w:w="1099" w:type="dxa"/>
            <w:shd w:val="clear" w:color="auto" w:fill="D7D7D7"/>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u w:color="000000"/>
                <w:lang w:eastAsia="zh-Hans"/>
              </w:rPr>
            </w:pPr>
            <w:r>
              <w:rPr>
                <w:rFonts w:hint="eastAsia" w:ascii="仿宋_GB2312" w:hAnsi="仿宋_GB2312" w:eastAsia="仿宋_GB2312" w:cs="仿宋_GB2312"/>
                <w:b/>
                <w:bCs/>
                <w:sz w:val="21"/>
                <w:szCs w:val="21"/>
                <w:u w:color="000000"/>
                <w:lang w:eastAsia="zh-Hans"/>
              </w:rPr>
              <w:t>出质股权数额（万元）</w:t>
            </w:r>
          </w:p>
        </w:tc>
        <w:tc>
          <w:tcPr>
            <w:tcW w:w="2271" w:type="dxa"/>
            <w:shd w:val="clear" w:color="auto" w:fill="D7D7D7"/>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u w:color="000000"/>
                <w:lang w:eastAsia="zh-Hans"/>
              </w:rPr>
            </w:pPr>
            <w:r>
              <w:rPr>
                <w:rFonts w:hint="eastAsia" w:ascii="仿宋_GB2312" w:hAnsi="仿宋_GB2312" w:eastAsia="仿宋_GB2312" w:cs="仿宋_GB2312"/>
                <w:b/>
                <w:bCs/>
                <w:sz w:val="21"/>
                <w:szCs w:val="21"/>
                <w:u w:color="000000"/>
                <w:lang w:eastAsia="zh-Hans"/>
              </w:rPr>
              <w:t>质权人</w:t>
            </w:r>
          </w:p>
        </w:tc>
        <w:tc>
          <w:tcPr>
            <w:tcW w:w="1759" w:type="dxa"/>
            <w:shd w:val="clear" w:color="auto" w:fill="D7D7D7"/>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u w:color="000000"/>
                <w:lang w:eastAsia="en-US"/>
              </w:rPr>
            </w:pPr>
            <w:r>
              <w:rPr>
                <w:rFonts w:hint="eastAsia" w:ascii="仿宋_GB2312" w:hAnsi="仿宋_GB2312" w:eastAsia="仿宋_GB2312" w:cs="仿宋_GB2312"/>
                <w:b/>
                <w:bCs/>
                <w:sz w:val="21"/>
                <w:szCs w:val="21"/>
                <w:u w:color="000000"/>
                <w:lang w:eastAsia="en-US"/>
              </w:rPr>
              <w:t>股权登记证号</w:t>
            </w:r>
          </w:p>
        </w:tc>
        <w:tc>
          <w:tcPr>
            <w:tcW w:w="1211" w:type="dxa"/>
            <w:shd w:val="clear" w:color="auto" w:fill="D7D7D7"/>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u w:color="000000"/>
                <w:lang w:eastAsia="zh-Hans"/>
              </w:rPr>
            </w:pPr>
            <w:r>
              <w:rPr>
                <w:rFonts w:hint="eastAsia" w:ascii="仿宋_GB2312" w:hAnsi="仿宋_GB2312" w:eastAsia="仿宋_GB2312" w:cs="仿宋_GB2312"/>
                <w:b/>
                <w:bCs/>
                <w:sz w:val="21"/>
                <w:szCs w:val="21"/>
                <w:u w:color="000000"/>
                <w:lang w:eastAsia="zh-Hans"/>
              </w:rPr>
              <w:t>登记日期</w:t>
            </w:r>
          </w:p>
        </w:tc>
        <w:tc>
          <w:tcPr>
            <w:tcW w:w="1179" w:type="dxa"/>
            <w:shd w:val="clear" w:color="auto" w:fill="D7D7D7"/>
            <w:vAlign w:val="center"/>
          </w:tcPr>
          <w:p>
            <w:pPr>
              <w:autoSpaceDE/>
              <w:autoSpaceDN/>
              <w:snapToGrid w:val="0"/>
              <w:spacing w:line="240" w:lineRule="auto"/>
              <w:ind w:firstLine="0" w:firstLineChars="0"/>
              <w:jc w:val="center"/>
              <w:rPr>
                <w:rFonts w:hint="eastAsia" w:ascii="仿宋_GB2312" w:hAnsi="仿宋_GB2312" w:eastAsia="仿宋_GB2312" w:cs="仿宋_GB2312"/>
                <w:b/>
                <w:bCs/>
                <w:sz w:val="21"/>
                <w:szCs w:val="21"/>
                <w:u w:color="000000"/>
                <w:lang w:eastAsia="en-US"/>
              </w:rPr>
            </w:pPr>
            <w:r>
              <w:rPr>
                <w:rFonts w:hint="eastAsia" w:ascii="仿宋_GB2312" w:hAnsi="仿宋_GB2312" w:eastAsia="仿宋_GB2312" w:cs="仿宋_GB2312"/>
                <w:b/>
                <w:bCs/>
                <w:sz w:val="21"/>
                <w:szCs w:val="21"/>
                <w:u w:color="000000"/>
                <w:lang w:eastAsia="en-U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948"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eastAsia="zh-CN"/>
              </w:rPr>
              <w:t>陈晨</w:t>
            </w:r>
          </w:p>
        </w:tc>
        <w:tc>
          <w:tcPr>
            <w:tcW w:w="1099"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100</w:t>
            </w:r>
          </w:p>
        </w:tc>
        <w:tc>
          <w:tcPr>
            <w:tcW w:w="2271"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贵州国信中小投资担保有限公司</w:t>
            </w:r>
          </w:p>
        </w:tc>
        <w:tc>
          <w:tcPr>
            <w:tcW w:w="1759"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eastAsia="zh-CN"/>
              </w:rPr>
              <w:t>（黔）股质登记设字[2016]第40号</w:t>
            </w:r>
          </w:p>
        </w:tc>
        <w:tc>
          <w:tcPr>
            <w:tcW w:w="1211"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2016-04-06</w:t>
            </w:r>
          </w:p>
        </w:tc>
        <w:tc>
          <w:tcPr>
            <w:tcW w:w="1179" w:type="dxa"/>
            <w:shd w:val="clear" w:color="auto" w:fill="auto"/>
            <w:vAlign w:val="center"/>
          </w:tcPr>
          <w:p>
            <w:pPr>
              <w:autoSpaceDE/>
              <w:autoSpaceDN/>
              <w:snapToGrid w:val="0"/>
              <w:spacing w:line="240" w:lineRule="auto"/>
              <w:ind w:firstLine="0" w:firstLineChars="0"/>
              <w:jc w:val="center"/>
              <w:rPr>
                <w:rFonts w:hint="eastAsia" w:ascii="仿宋_GB2312" w:hAnsi="仿宋_GB2312" w:eastAsia="仿宋_GB2312" w:cs="仿宋_GB2312"/>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948"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陈曲</w:t>
            </w:r>
          </w:p>
        </w:tc>
        <w:tc>
          <w:tcPr>
            <w:tcW w:w="1099"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900</w:t>
            </w:r>
          </w:p>
        </w:tc>
        <w:tc>
          <w:tcPr>
            <w:tcW w:w="2271"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贵州国信中小投资担保有限公司</w:t>
            </w:r>
          </w:p>
        </w:tc>
        <w:tc>
          <w:tcPr>
            <w:tcW w:w="1759"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eastAsia="zh-CN"/>
              </w:rPr>
              <w:t>（黔）股质登记设字[2016]第40号</w:t>
            </w:r>
          </w:p>
        </w:tc>
        <w:tc>
          <w:tcPr>
            <w:tcW w:w="1211"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2016-04-06</w:t>
            </w:r>
          </w:p>
        </w:tc>
        <w:tc>
          <w:tcPr>
            <w:tcW w:w="1179" w:type="dxa"/>
            <w:shd w:val="clear" w:color="auto" w:fill="auto"/>
            <w:vAlign w:val="center"/>
          </w:tcPr>
          <w:p>
            <w:pPr>
              <w:autoSpaceDE/>
              <w:autoSpaceDN/>
              <w:snapToGrid w:val="0"/>
              <w:spacing w:line="240" w:lineRule="auto"/>
              <w:ind w:firstLine="0" w:firstLineChars="0"/>
              <w:jc w:val="center"/>
              <w:rPr>
                <w:rFonts w:hint="eastAsia" w:ascii="仿宋_GB2312" w:hAnsi="仿宋_GB2312" w:eastAsia="仿宋_GB2312" w:cs="仿宋_GB2312"/>
                <w:kern w:val="0"/>
                <w:sz w:val="21"/>
                <w:szCs w:val="21"/>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948"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color w:val="FF0000"/>
                <w:sz w:val="21"/>
                <w:szCs w:val="21"/>
                <w:u w:color="000000"/>
                <w:lang w:val="zh-TW" w:eastAsia="en-US"/>
              </w:rPr>
            </w:pPr>
            <w:r>
              <w:rPr>
                <w:rFonts w:hint="eastAsia" w:ascii="仿宋_GB2312" w:hAnsi="仿宋_GB2312" w:eastAsia="仿宋_GB2312" w:cs="仿宋_GB2312"/>
                <w:b/>
                <w:bCs/>
                <w:sz w:val="21"/>
                <w:szCs w:val="21"/>
                <w:u w:color="000000"/>
                <w:lang w:val="zh-TW" w:eastAsia="en-US"/>
              </w:rPr>
              <w:t>合计</w:t>
            </w:r>
          </w:p>
        </w:tc>
        <w:tc>
          <w:tcPr>
            <w:tcW w:w="1099"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color w:val="FF0000"/>
                <w:sz w:val="21"/>
                <w:szCs w:val="21"/>
                <w:u w:color="000000"/>
                <w:lang w:eastAsia="en-US"/>
              </w:rPr>
            </w:pPr>
            <w:r>
              <w:rPr>
                <w:rFonts w:hint="eastAsia" w:ascii="仿宋_GB2312" w:hAnsi="仿宋_GB2312" w:eastAsia="仿宋_GB2312" w:cs="仿宋_GB2312"/>
                <w:b/>
                <w:bCs/>
                <w:color w:val="000000"/>
                <w:sz w:val="21"/>
                <w:szCs w:val="21"/>
                <w:u w:color="000000"/>
                <w:lang w:eastAsia="zh-CN"/>
                <w14:textFill>
                  <w14:solidFill>
                    <w14:srgbClr w14:val="000000">
                      <w14:lumMod w14:val="95000"/>
                      <w14:lumOff w14:val="5000"/>
                    </w14:srgbClr>
                  </w14:solidFill>
                </w14:textFill>
              </w:rPr>
              <w:t>1000</w:t>
            </w:r>
          </w:p>
        </w:tc>
        <w:tc>
          <w:tcPr>
            <w:tcW w:w="2271"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color w:val="000000"/>
                <w:sz w:val="21"/>
                <w:szCs w:val="21"/>
                <w:u w:color="000000"/>
                <w:lang w:eastAsia="en-US"/>
              </w:rPr>
            </w:pPr>
            <w:r>
              <w:rPr>
                <w:rFonts w:hint="eastAsia" w:ascii="仿宋_GB2312" w:hAnsi="仿宋_GB2312" w:eastAsia="仿宋_GB2312" w:cs="仿宋_GB2312"/>
                <w:color w:val="000000"/>
                <w:sz w:val="21"/>
                <w:szCs w:val="21"/>
                <w:u w:color="000000"/>
                <w:lang w:eastAsia="en-US"/>
              </w:rPr>
              <w:t>/</w:t>
            </w:r>
          </w:p>
        </w:tc>
        <w:tc>
          <w:tcPr>
            <w:tcW w:w="1759"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color w:val="000000"/>
                <w:sz w:val="21"/>
                <w:szCs w:val="21"/>
                <w:u w:color="000000"/>
                <w:lang w:eastAsia="en-US"/>
              </w:rPr>
            </w:pPr>
            <w:r>
              <w:rPr>
                <w:rFonts w:hint="eastAsia" w:ascii="仿宋_GB2312" w:hAnsi="仿宋_GB2312" w:eastAsia="仿宋_GB2312" w:cs="仿宋_GB2312"/>
                <w:color w:val="000000"/>
                <w:sz w:val="21"/>
                <w:szCs w:val="21"/>
                <w:u w:color="000000"/>
                <w:lang w:eastAsia="en-US"/>
              </w:rPr>
              <w:t>/</w:t>
            </w:r>
          </w:p>
        </w:tc>
        <w:tc>
          <w:tcPr>
            <w:tcW w:w="1211" w:type="dxa"/>
            <w:shd w:val="clear" w:color="auto" w:fill="auto"/>
            <w:tcMar>
              <w:top w:w="80" w:type="dxa"/>
              <w:left w:w="80" w:type="dxa"/>
              <w:bottom w:w="80" w:type="dxa"/>
              <w:right w:w="80" w:type="dxa"/>
            </w:tcMar>
            <w:vAlign w:val="center"/>
          </w:tcPr>
          <w:p>
            <w:pPr>
              <w:autoSpaceDE/>
              <w:autoSpaceDN/>
              <w:snapToGrid w:val="0"/>
              <w:spacing w:line="240" w:lineRule="auto"/>
              <w:ind w:firstLine="0" w:firstLineChars="0"/>
              <w:jc w:val="center"/>
              <w:rPr>
                <w:rFonts w:hint="eastAsia" w:ascii="仿宋_GB2312" w:hAnsi="仿宋_GB2312" w:eastAsia="仿宋_GB2312" w:cs="仿宋_GB2312"/>
                <w:color w:val="000000"/>
                <w:sz w:val="21"/>
                <w:szCs w:val="21"/>
                <w:u w:color="000000"/>
                <w:lang w:eastAsia="en-US"/>
              </w:rPr>
            </w:pPr>
            <w:r>
              <w:rPr>
                <w:rFonts w:hint="eastAsia" w:ascii="仿宋_GB2312" w:hAnsi="仿宋_GB2312" w:eastAsia="仿宋_GB2312" w:cs="仿宋_GB2312"/>
                <w:color w:val="000000"/>
                <w:sz w:val="21"/>
                <w:szCs w:val="21"/>
                <w:u w:color="000000"/>
                <w:lang w:eastAsia="en-US"/>
              </w:rPr>
              <w:t>/</w:t>
            </w:r>
          </w:p>
        </w:tc>
        <w:tc>
          <w:tcPr>
            <w:tcW w:w="1179" w:type="dxa"/>
            <w:shd w:val="clear" w:color="auto" w:fill="auto"/>
            <w:vAlign w:val="center"/>
          </w:tcPr>
          <w:p>
            <w:pPr>
              <w:autoSpaceDE/>
              <w:autoSpaceDN/>
              <w:snapToGrid w:val="0"/>
              <w:spacing w:line="240" w:lineRule="auto"/>
              <w:ind w:firstLine="0" w:firstLineChars="0"/>
              <w:jc w:val="center"/>
              <w:rPr>
                <w:rFonts w:hint="eastAsia" w:ascii="仿宋_GB2312" w:hAnsi="仿宋_GB2312" w:eastAsia="仿宋_GB2312" w:cs="仿宋_GB2312"/>
                <w:color w:val="000000"/>
                <w:sz w:val="21"/>
                <w:szCs w:val="21"/>
                <w:u w:color="000000"/>
                <w:lang w:eastAsia="en-US"/>
              </w:rPr>
            </w:pPr>
            <w:r>
              <w:rPr>
                <w:rFonts w:hint="eastAsia" w:ascii="仿宋_GB2312" w:hAnsi="仿宋_GB2312" w:eastAsia="仿宋_GB2312" w:cs="仿宋_GB2312"/>
                <w:color w:val="000000"/>
                <w:sz w:val="21"/>
                <w:szCs w:val="21"/>
                <w:u w:color="000000"/>
                <w:lang w:eastAsia="en-US"/>
              </w:rPr>
              <w:t>/</w:t>
            </w:r>
          </w:p>
        </w:tc>
      </w:tr>
    </w:tbl>
    <w:p>
      <w:pPr>
        <w:ind w:firstLine="640"/>
        <w:rPr>
          <w:rFonts w:hint="eastAsia" w:ascii="仿宋_GB2312" w:hAnsi="仿宋_GB2312" w:eastAsia="仿宋_GB2312" w:cs="仿宋_GB2312"/>
          <w:szCs w:val="32"/>
        </w:rPr>
      </w:pPr>
      <w:r>
        <w:rPr>
          <w:rFonts w:hint="eastAsia" w:ascii="仿宋_GB2312" w:hAnsi="仿宋_GB2312" w:eastAsia="仿宋_GB2312" w:cs="仿宋_GB2312"/>
          <w:szCs w:val="32"/>
          <w:lang w:val="en-US" w:eastAsia="zh-CN"/>
        </w:rPr>
        <w:t>2.</w:t>
      </w:r>
      <w:r>
        <w:rPr>
          <w:rFonts w:hint="eastAsia" w:ascii="仿宋_GB2312" w:hAnsi="仿宋_GB2312" w:eastAsia="仿宋_GB2312" w:cs="仿宋_GB2312"/>
          <w:szCs w:val="32"/>
        </w:rPr>
        <w:t>股权冻结情况</w:t>
      </w:r>
    </w:p>
    <w:p>
      <w:pPr>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无。</w:t>
      </w:r>
    </w:p>
    <w:p>
      <w:pPr>
        <w:ind w:firstLine="640"/>
        <w:rPr>
          <w:rFonts w:hint="eastAsia" w:ascii="仿宋_GB2312" w:hAnsi="仿宋_GB2312" w:eastAsia="仿宋_GB2312" w:cs="仿宋_GB2312"/>
          <w:szCs w:val="32"/>
        </w:rPr>
      </w:pPr>
      <w:r>
        <w:rPr>
          <w:rFonts w:hint="eastAsia" w:ascii="仿宋_GB2312" w:hAnsi="仿宋_GB2312" w:eastAsia="仿宋_GB2312" w:cs="仿宋_GB2312"/>
          <w:szCs w:val="32"/>
          <w:lang w:val="en-US" w:eastAsia="zh-CN"/>
        </w:rPr>
        <w:t>3.</w:t>
      </w:r>
      <w:r>
        <w:rPr>
          <w:rFonts w:hint="eastAsia" w:ascii="仿宋_GB2312" w:hAnsi="仿宋_GB2312" w:eastAsia="仿宋_GB2312" w:cs="仿宋_GB2312"/>
          <w:szCs w:val="32"/>
        </w:rPr>
        <w:t>对外股权投资</w:t>
      </w:r>
    </w:p>
    <w:p>
      <w:pPr>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无。</w:t>
      </w:r>
    </w:p>
    <w:p>
      <w:pPr>
        <w:pStyle w:val="2"/>
        <w:rPr>
          <w:rFonts w:hint="eastAsia" w:ascii="黑体" w:hAnsi="黑体" w:eastAsia="黑体" w:cs="黑体"/>
        </w:rPr>
      </w:pPr>
      <w:bookmarkStart w:id="4" w:name="_Toc101092319"/>
      <w:bookmarkStart w:id="5" w:name="_Toc28008"/>
      <w:r>
        <w:rPr>
          <w:rFonts w:hint="eastAsia" w:ascii="黑体" w:hAnsi="黑体" w:eastAsia="黑体" w:cs="黑体"/>
          <w:lang w:val="en-US" w:eastAsia="zh-CN"/>
        </w:rPr>
        <w:t>三、</w:t>
      </w:r>
      <w:r>
        <w:rPr>
          <w:rFonts w:hint="eastAsia" w:ascii="黑体" w:hAnsi="黑体" w:eastAsia="黑体" w:cs="黑体"/>
        </w:rPr>
        <w:t>担保情况</w:t>
      </w:r>
      <w:bookmarkEnd w:id="4"/>
      <w:bookmarkEnd w:id="5"/>
    </w:p>
    <w:p>
      <w:pPr>
        <w:ind w:firstLine="640"/>
        <w:rPr>
          <w:rFonts w:hint="eastAsia" w:ascii="楷体" w:hAnsi="楷体" w:eastAsia="楷体" w:cs="楷体"/>
          <w:szCs w:val="32"/>
        </w:rPr>
      </w:pPr>
      <w:r>
        <w:rPr>
          <w:rFonts w:hint="eastAsia" w:ascii="楷体" w:hAnsi="楷体" w:eastAsia="楷体" w:cs="楷体"/>
          <w:szCs w:val="32"/>
          <w:lang w:eastAsia="zh-CN"/>
        </w:rPr>
        <w:t>（</w:t>
      </w:r>
      <w:r>
        <w:rPr>
          <w:rFonts w:hint="eastAsia" w:ascii="楷体" w:hAnsi="楷体" w:eastAsia="楷体" w:cs="楷体"/>
          <w:szCs w:val="32"/>
          <w:lang w:val="en-US" w:eastAsia="zh-CN"/>
        </w:rPr>
        <w:t>一</w:t>
      </w:r>
      <w:r>
        <w:rPr>
          <w:rFonts w:hint="eastAsia" w:ascii="楷体" w:hAnsi="楷体" w:eastAsia="楷体" w:cs="楷体"/>
          <w:szCs w:val="32"/>
          <w:lang w:eastAsia="zh-CN"/>
        </w:rPr>
        <w:t>）</w:t>
      </w:r>
      <w:r>
        <w:rPr>
          <w:rFonts w:hint="eastAsia" w:ascii="楷体" w:hAnsi="楷体" w:eastAsia="楷体" w:cs="楷体"/>
          <w:szCs w:val="32"/>
        </w:rPr>
        <w:t>抵押担保基本情况</w:t>
      </w:r>
    </w:p>
    <w:p>
      <w:pPr>
        <w:ind w:firstLine="640"/>
        <w:rPr>
          <w:rFonts w:hint="eastAsia" w:ascii="仿宋_GB2312" w:hAnsi="仿宋_GB2312" w:eastAsia="仿宋_GB2312" w:cs="仿宋_GB2312"/>
          <w:szCs w:val="32"/>
        </w:rPr>
      </w:pPr>
      <w:r>
        <w:rPr>
          <w:rFonts w:hint="eastAsia" w:ascii="仿宋_GB2312" w:hAnsi="仿宋_GB2312" w:eastAsia="仿宋_GB2312" w:cs="仿宋_GB2312"/>
          <w:szCs w:val="32"/>
          <w:lang w:val="en-US" w:eastAsia="zh-CN"/>
        </w:rPr>
        <w:t>1.</w:t>
      </w:r>
      <w:r>
        <w:rPr>
          <w:rFonts w:hint="eastAsia" w:ascii="仿宋_GB2312" w:hAnsi="仿宋_GB2312" w:eastAsia="仿宋_GB2312" w:cs="仿宋_GB2312"/>
          <w:szCs w:val="32"/>
        </w:rPr>
        <w:t>抵押合同基本情况</w:t>
      </w:r>
    </w:p>
    <w:tbl>
      <w:tblPr>
        <w:tblStyle w:val="3"/>
        <w:tblW w:w="8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700"/>
        <w:gridCol w:w="802"/>
        <w:gridCol w:w="1500"/>
        <w:gridCol w:w="1296"/>
        <w:gridCol w:w="2360"/>
        <w:gridCol w:w="661"/>
        <w:gridCol w:w="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0" w:type="dxa"/>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序号</w:t>
            </w:r>
          </w:p>
        </w:tc>
        <w:tc>
          <w:tcPr>
            <w:tcW w:w="700" w:type="dxa"/>
            <w:tcBorders>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抵押人</w:t>
            </w:r>
          </w:p>
        </w:tc>
        <w:tc>
          <w:tcPr>
            <w:tcW w:w="802"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签订日期</w:t>
            </w:r>
          </w:p>
        </w:tc>
        <w:tc>
          <w:tcPr>
            <w:tcW w:w="1500"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合同号</w:t>
            </w:r>
          </w:p>
        </w:tc>
        <w:tc>
          <w:tcPr>
            <w:tcW w:w="1296"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对应借款合同号</w:t>
            </w:r>
          </w:p>
        </w:tc>
        <w:tc>
          <w:tcPr>
            <w:tcW w:w="2360"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担保范围</w:t>
            </w:r>
          </w:p>
        </w:tc>
        <w:tc>
          <w:tcPr>
            <w:tcW w:w="661" w:type="dxa"/>
            <w:tcBorders>
              <w:lef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限制转让</w:t>
            </w:r>
          </w:p>
        </w:tc>
        <w:tc>
          <w:tcPr>
            <w:tcW w:w="684" w:type="dxa"/>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抵押物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510"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p>
        </w:tc>
        <w:tc>
          <w:tcPr>
            <w:tcW w:w="700" w:type="dxa"/>
            <w:tcBorders>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color w:val="000000"/>
                <w:kern w:val="0"/>
                <w:sz w:val="21"/>
                <w:szCs w:val="21"/>
                <w:lang w:eastAsia="zh-Hans"/>
              </w:rPr>
              <w:t>陈曲</w:t>
            </w:r>
          </w:p>
        </w:tc>
        <w:tc>
          <w:tcPr>
            <w:tcW w:w="802" w:type="dxa"/>
            <w:vMerge w:val="restart"/>
            <w:tcBorders>
              <w:top w:val="single" w:color="auto" w:sz="4" w:space="0"/>
              <w:left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2014/3/3</w:t>
            </w:r>
          </w:p>
          <w:p>
            <w:pPr>
              <w:snapToGrid w:val="0"/>
              <w:spacing w:line="240" w:lineRule="auto"/>
              <w:ind w:firstLine="420"/>
              <w:jc w:val="center"/>
              <w:rPr>
                <w:rFonts w:hint="eastAsia" w:ascii="仿宋_GB2312" w:hAnsi="仿宋_GB2312" w:eastAsia="仿宋_GB2312" w:cs="仿宋_GB2312"/>
                <w:color w:val="000000"/>
                <w:kern w:val="0"/>
                <w:sz w:val="21"/>
                <w:szCs w:val="21"/>
              </w:rPr>
            </w:pPr>
          </w:p>
        </w:tc>
        <w:tc>
          <w:tcPr>
            <w:tcW w:w="1500" w:type="dxa"/>
            <w:vMerge w:val="restart"/>
            <w:tcBorders>
              <w:top w:val="single" w:color="auto" w:sz="4" w:space="0"/>
              <w:left w:val="single" w:color="auto" w:sz="4" w:space="0"/>
              <w:right w:val="single" w:color="auto" w:sz="4" w:space="0"/>
            </w:tcBorders>
            <w:vAlign w:val="center"/>
          </w:tcPr>
          <w:p>
            <w:pPr>
              <w:snapToGrid w:val="0"/>
              <w:spacing w:line="240" w:lineRule="auto"/>
              <w:ind w:firstLine="0" w:firstLineChars="0"/>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eastAsia="zh-Hans"/>
              </w:rPr>
              <w:t>汇农信社(2014)年最高额抵押字0242号《最高额抵押合同》</w:t>
            </w:r>
          </w:p>
        </w:tc>
        <w:tc>
          <w:tcPr>
            <w:tcW w:w="1296" w:type="dxa"/>
            <w:vMerge w:val="restart"/>
            <w:tcBorders>
              <w:top w:val="single" w:color="auto" w:sz="4" w:space="0"/>
              <w:left w:val="single" w:color="auto" w:sz="4" w:space="0"/>
              <w:right w:val="single" w:color="auto" w:sz="4" w:space="0"/>
            </w:tcBorders>
            <w:vAlign w:val="center"/>
          </w:tcPr>
          <w:p>
            <w:pPr>
              <w:snapToGrid w:val="0"/>
              <w:spacing w:line="240" w:lineRule="auto"/>
              <w:ind w:firstLine="42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eastAsia="zh-Hans"/>
              </w:rPr>
              <w:t>汇农信社(2014)年授信字0242号</w:t>
            </w:r>
          </w:p>
        </w:tc>
        <w:tc>
          <w:tcPr>
            <w:tcW w:w="2360" w:type="dxa"/>
            <w:vMerge w:val="restart"/>
            <w:tcBorders>
              <w:top w:val="single" w:color="auto" w:sz="4" w:space="0"/>
              <w:left w:val="single" w:color="auto" w:sz="4" w:space="0"/>
              <w:right w:val="single" w:color="auto" w:sz="4" w:space="0"/>
            </w:tcBorders>
            <w:vAlign w:val="center"/>
          </w:tcPr>
          <w:p>
            <w:pPr>
              <w:snapToGrid w:val="0"/>
              <w:spacing w:line="240" w:lineRule="auto"/>
              <w:ind w:firstLine="0" w:firstLineChars="0"/>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eastAsia="zh-Hans"/>
              </w:rPr>
              <w:t>担保期间为2014年3月3日起至2015年3月2日期间的借款，在最高额2000万元苑围内提供抵押担保。押担保范围包括债权本金及利息、违约金、赔偿金及实现债 权和抵押权的一切费用（包括但不限千诉讼费、财产保全费、 差旅费、执行费、评估费、拍卖费、查询费、律师代理费等）。</w:t>
            </w:r>
          </w:p>
        </w:tc>
        <w:tc>
          <w:tcPr>
            <w:tcW w:w="661" w:type="dxa"/>
            <w:tcBorders>
              <w:lef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否</w:t>
            </w:r>
          </w:p>
        </w:tc>
        <w:tc>
          <w:tcPr>
            <w:tcW w:w="684"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房产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510"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w:t>
            </w:r>
          </w:p>
        </w:tc>
        <w:tc>
          <w:tcPr>
            <w:tcW w:w="700" w:type="dxa"/>
            <w:tcBorders>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color w:val="000000"/>
                <w:kern w:val="0"/>
                <w:sz w:val="21"/>
                <w:szCs w:val="21"/>
                <w:lang w:eastAsia="zh-Hans"/>
              </w:rPr>
              <w:t>陈晨</w:t>
            </w:r>
          </w:p>
        </w:tc>
        <w:tc>
          <w:tcPr>
            <w:tcW w:w="802" w:type="dxa"/>
            <w:vMerge w:val="continue"/>
            <w:tcBorders>
              <w:left w:val="single" w:color="auto" w:sz="4" w:space="0"/>
              <w:right w:val="single" w:color="auto" w:sz="4" w:space="0"/>
            </w:tcBorders>
            <w:vAlign w:val="center"/>
          </w:tcPr>
          <w:p>
            <w:pPr>
              <w:snapToGrid w:val="0"/>
              <w:spacing w:line="240" w:lineRule="auto"/>
              <w:ind w:firstLine="420"/>
              <w:jc w:val="center"/>
              <w:rPr>
                <w:rFonts w:hint="eastAsia" w:ascii="仿宋_GB2312" w:hAnsi="仿宋_GB2312" w:eastAsia="仿宋_GB2312" w:cs="仿宋_GB2312"/>
                <w:color w:val="000000"/>
                <w:kern w:val="0"/>
                <w:sz w:val="21"/>
                <w:szCs w:val="21"/>
              </w:rPr>
            </w:pPr>
          </w:p>
        </w:tc>
        <w:tc>
          <w:tcPr>
            <w:tcW w:w="1500" w:type="dxa"/>
            <w:vMerge w:val="continue"/>
            <w:tcBorders>
              <w:left w:val="single" w:color="auto" w:sz="4" w:space="0"/>
              <w:right w:val="single" w:color="auto" w:sz="4" w:space="0"/>
            </w:tcBorders>
            <w:vAlign w:val="center"/>
          </w:tcPr>
          <w:p>
            <w:pPr>
              <w:snapToGrid w:val="0"/>
              <w:spacing w:line="240" w:lineRule="auto"/>
              <w:ind w:firstLine="0" w:firstLineChars="0"/>
              <w:rPr>
                <w:rFonts w:hint="eastAsia" w:ascii="仿宋_GB2312" w:hAnsi="仿宋_GB2312" w:eastAsia="仿宋_GB2312" w:cs="仿宋_GB2312"/>
                <w:color w:val="000000"/>
                <w:kern w:val="0"/>
                <w:sz w:val="21"/>
                <w:szCs w:val="21"/>
                <w:lang w:eastAsia="zh-Hans"/>
              </w:rPr>
            </w:pPr>
          </w:p>
        </w:tc>
        <w:tc>
          <w:tcPr>
            <w:tcW w:w="1296" w:type="dxa"/>
            <w:vMerge w:val="continue"/>
            <w:tcBorders>
              <w:left w:val="single" w:color="auto" w:sz="4" w:space="0"/>
              <w:right w:val="single" w:color="auto" w:sz="4" w:space="0"/>
            </w:tcBorders>
            <w:vAlign w:val="center"/>
          </w:tcPr>
          <w:p>
            <w:pPr>
              <w:snapToGrid w:val="0"/>
              <w:spacing w:line="240" w:lineRule="auto"/>
              <w:ind w:firstLine="420"/>
              <w:jc w:val="center"/>
              <w:rPr>
                <w:rFonts w:hint="eastAsia" w:ascii="仿宋_GB2312" w:hAnsi="仿宋_GB2312" w:eastAsia="仿宋_GB2312" w:cs="仿宋_GB2312"/>
                <w:kern w:val="0"/>
                <w:sz w:val="21"/>
                <w:szCs w:val="21"/>
                <w:lang w:eastAsia="zh-Hans"/>
              </w:rPr>
            </w:pPr>
          </w:p>
        </w:tc>
        <w:tc>
          <w:tcPr>
            <w:tcW w:w="2360" w:type="dxa"/>
            <w:vMerge w:val="continue"/>
            <w:tcBorders>
              <w:left w:val="single" w:color="auto" w:sz="4" w:space="0"/>
              <w:right w:val="single" w:color="auto" w:sz="4" w:space="0"/>
            </w:tcBorders>
            <w:vAlign w:val="center"/>
          </w:tcPr>
          <w:p>
            <w:pPr>
              <w:snapToGrid w:val="0"/>
              <w:spacing w:line="240" w:lineRule="auto"/>
              <w:ind w:firstLine="0" w:firstLineChars="0"/>
              <w:jc w:val="left"/>
              <w:rPr>
                <w:rFonts w:hint="eastAsia" w:ascii="仿宋_GB2312" w:hAnsi="仿宋_GB2312" w:eastAsia="仿宋_GB2312" w:cs="仿宋_GB2312"/>
                <w:kern w:val="0"/>
                <w:sz w:val="21"/>
                <w:szCs w:val="21"/>
                <w:lang w:eastAsia="zh-Hans"/>
              </w:rPr>
            </w:pPr>
          </w:p>
        </w:tc>
        <w:tc>
          <w:tcPr>
            <w:tcW w:w="661" w:type="dxa"/>
            <w:tcBorders>
              <w:lef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否</w:t>
            </w:r>
          </w:p>
        </w:tc>
        <w:tc>
          <w:tcPr>
            <w:tcW w:w="684"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房产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0"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w:t>
            </w:r>
          </w:p>
        </w:tc>
        <w:tc>
          <w:tcPr>
            <w:tcW w:w="700" w:type="dxa"/>
            <w:tcBorders>
              <w:right w:val="single" w:color="auto" w:sz="4" w:space="0"/>
            </w:tcBorders>
            <w:vAlign w:val="center"/>
          </w:tcPr>
          <w:p>
            <w:pPr>
              <w:snapToGrid w:val="0"/>
              <w:spacing w:line="240" w:lineRule="auto"/>
              <w:ind w:firstLine="0" w:firstLineChars="0"/>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color w:val="000000"/>
                <w:kern w:val="0"/>
                <w:sz w:val="21"/>
                <w:szCs w:val="21"/>
                <w:lang w:eastAsia="zh-Hans"/>
              </w:rPr>
              <w:t>张婕</w:t>
            </w:r>
          </w:p>
        </w:tc>
        <w:tc>
          <w:tcPr>
            <w:tcW w:w="802" w:type="dxa"/>
            <w:vMerge w:val="continue"/>
            <w:tcBorders>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rPr>
            </w:pPr>
          </w:p>
        </w:tc>
        <w:tc>
          <w:tcPr>
            <w:tcW w:w="1500" w:type="dxa"/>
            <w:vMerge w:val="continue"/>
            <w:tcBorders>
              <w:left w:val="single" w:color="auto" w:sz="4" w:space="0"/>
              <w:bottom w:val="single" w:color="auto" w:sz="4" w:space="0"/>
              <w:right w:val="single" w:color="auto" w:sz="4" w:space="0"/>
            </w:tcBorders>
            <w:vAlign w:val="center"/>
          </w:tcPr>
          <w:p>
            <w:pPr>
              <w:snapToGrid w:val="0"/>
              <w:spacing w:line="240" w:lineRule="auto"/>
              <w:ind w:firstLine="0" w:firstLineChars="0"/>
              <w:rPr>
                <w:rFonts w:hint="eastAsia" w:ascii="仿宋_GB2312" w:hAnsi="仿宋_GB2312" w:eastAsia="仿宋_GB2312" w:cs="仿宋_GB2312"/>
                <w:color w:val="000000"/>
                <w:kern w:val="0"/>
                <w:sz w:val="21"/>
                <w:szCs w:val="21"/>
                <w:lang w:eastAsia="zh-Hans"/>
              </w:rPr>
            </w:pPr>
          </w:p>
        </w:tc>
        <w:tc>
          <w:tcPr>
            <w:tcW w:w="1296" w:type="dxa"/>
            <w:vMerge w:val="continue"/>
            <w:tcBorders>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p>
        </w:tc>
        <w:tc>
          <w:tcPr>
            <w:tcW w:w="2360" w:type="dxa"/>
            <w:vMerge w:val="continue"/>
            <w:tcBorders>
              <w:left w:val="single" w:color="auto" w:sz="4" w:space="0"/>
              <w:bottom w:val="single" w:color="auto" w:sz="4" w:space="0"/>
              <w:right w:val="single" w:color="auto" w:sz="4" w:space="0"/>
            </w:tcBorders>
            <w:vAlign w:val="center"/>
          </w:tcPr>
          <w:p>
            <w:pPr>
              <w:snapToGrid w:val="0"/>
              <w:spacing w:line="240" w:lineRule="auto"/>
              <w:ind w:firstLine="0" w:firstLineChars="0"/>
              <w:jc w:val="left"/>
              <w:rPr>
                <w:rFonts w:hint="eastAsia" w:ascii="仿宋_GB2312" w:hAnsi="仿宋_GB2312" w:eastAsia="仿宋_GB2312" w:cs="仿宋_GB2312"/>
                <w:kern w:val="0"/>
                <w:sz w:val="21"/>
                <w:szCs w:val="21"/>
                <w:lang w:eastAsia="zh-Hans"/>
              </w:rPr>
            </w:pPr>
          </w:p>
        </w:tc>
        <w:tc>
          <w:tcPr>
            <w:tcW w:w="661" w:type="dxa"/>
            <w:tcBorders>
              <w:lef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否</w:t>
            </w:r>
          </w:p>
        </w:tc>
        <w:tc>
          <w:tcPr>
            <w:tcW w:w="684"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房产</w:t>
            </w:r>
          </w:p>
        </w:tc>
      </w:tr>
    </w:tbl>
    <w:p>
      <w:pPr>
        <w:numPr>
          <w:ilvl w:val="0"/>
          <w:numId w:val="0"/>
        </w:numPr>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lang w:val="en-US" w:eastAsia="zh-CN"/>
        </w:rPr>
        <w:t>2.</w:t>
      </w:r>
      <w:r>
        <w:rPr>
          <w:rFonts w:hint="eastAsia" w:ascii="仿宋_GB2312" w:hAnsi="仿宋_GB2312" w:eastAsia="仿宋_GB2312" w:cs="仿宋_GB2312"/>
          <w:szCs w:val="32"/>
        </w:rPr>
        <w:t>抵押登记情况</w:t>
      </w:r>
    </w:p>
    <w:tbl>
      <w:tblPr>
        <w:tblStyle w:val="3"/>
        <w:tblW w:w="8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1"/>
        <w:gridCol w:w="701"/>
        <w:gridCol w:w="802"/>
        <w:gridCol w:w="1202"/>
        <w:gridCol w:w="1594"/>
        <w:gridCol w:w="863"/>
        <w:gridCol w:w="814"/>
        <w:gridCol w:w="1343"/>
        <w:gridCol w:w="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1" w:type="dxa"/>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序号</w:t>
            </w:r>
          </w:p>
        </w:tc>
        <w:tc>
          <w:tcPr>
            <w:tcW w:w="701" w:type="dxa"/>
            <w:tcBorders>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抵押人</w:t>
            </w:r>
          </w:p>
        </w:tc>
        <w:tc>
          <w:tcPr>
            <w:tcW w:w="802"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类型</w:t>
            </w:r>
          </w:p>
        </w:tc>
        <w:tc>
          <w:tcPr>
            <w:tcW w:w="1202"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权证号</w:t>
            </w:r>
          </w:p>
        </w:tc>
        <w:tc>
          <w:tcPr>
            <w:tcW w:w="1594"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位置</w:t>
            </w:r>
          </w:p>
        </w:tc>
        <w:tc>
          <w:tcPr>
            <w:tcW w:w="863" w:type="dxa"/>
            <w:tcBorders>
              <w:lef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用途</w:t>
            </w:r>
          </w:p>
        </w:tc>
        <w:tc>
          <w:tcPr>
            <w:tcW w:w="814" w:type="dxa"/>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面积（㎡）</w:t>
            </w:r>
          </w:p>
        </w:tc>
        <w:tc>
          <w:tcPr>
            <w:tcW w:w="1343" w:type="dxa"/>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登记情况</w:t>
            </w:r>
          </w:p>
        </w:tc>
        <w:tc>
          <w:tcPr>
            <w:tcW w:w="683" w:type="dxa"/>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顺位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1"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1</w:t>
            </w:r>
          </w:p>
        </w:tc>
        <w:tc>
          <w:tcPr>
            <w:tcW w:w="701" w:type="dxa"/>
            <w:tcBorders>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color w:val="000000"/>
                <w:kern w:val="0"/>
                <w:sz w:val="21"/>
                <w:szCs w:val="21"/>
                <w:lang w:eastAsia="zh-Hans"/>
              </w:rPr>
              <w:t>陈曲</w:t>
            </w:r>
          </w:p>
        </w:tc>
        <w:tc>
          <w:tcPr>
            <w:tcW w:w="802"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房产</w:t>
            </w:r>
          </w:p>
        </w:tc>
        <w:tc>
          <w:tcPr>
            <w:tcW w:w="1202"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sz w:val="21"/>
                <w:szCs w:val="21"/>
              </w:rPr>
              <w:t>遵房权证监字第201207433号</w:t>
            </w:r>
          </w:p>
        </w:tc>
        <w:tc>
          <w:tcPr>
            <w:tcW w:w="1594"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sz w:val="21"/>
                <w:szCs w:val="21"/>
              </w:rPr>
              <w:t>贵州省遵义市汇川区长沙路遵义汽车城A区A座1-11号房产</w:t>
            </w:r>
          </w:p>
        </w:tc>
        <w:tc>
          <w:tcPr>
            <w:tcW w:w="863" w:type="dxa"/>
            <w:tcBorders>
              <w:lef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sz w:val="21"/>
                <w:szCs w:val="21"/>
                <w:lang w:eastAsia="zh-Hans"/>
              </w:rPr>
              <w:t>商业用房</w:t>
            </w:r>
          </w:p>
        </w:tc>
        <w:tc>
          <w:tcPr>
            <w:tcW w:w="814"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pacing w:val="-4"/>
                <w:sz w:val="21"/>
                <w:szCs w:val="21"/>
              </w:rPr>
              <w:t>487.23㎡</w:t>
            </w:r>
          </w:p>
        </w:tc>
        <w:tc>
          <w:tcPr>
            <w:tcW w:w="1343" w:type="dxa"/>
            <w:vMerge w:val="restart"/>
            <w:vAlign w:val="center"/>
          </w:tcPr>
          <w:p>
            <w:pPr>
              <w:snapToGrid w:val="0"/>
              <w:spacing w:line="240" w:lineRule="auto"/>
              <w:ind w:firstLine="42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sz w:val="21"/>
                <w:szCs w:val="21"/>
                <w:lang w:eastAsia="zh-Hans"/>
              </w:rPr>
              <w:t>遵房他证监字第2014200399号</w:t>
            </w:r>
          </w:p>
        </w:tc>
        <w:tc>
          <w:tcPr>
            <w:tcW w:w="683"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第一顺位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1"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2</w:t>
            </w:r>
          </w:p>
        </w:tc>
        <w:tc>
          <w:tcPr>
            <w:tcW w:w="701" w:type="dxa"/>
            <w:tcBorders>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color w:val="000000"/>
                <w:kern w:val="0"/>
                <w:sz w:val="21"/>
                <w:szCs w:val="21"/>
                <w:lang w:eastAsia="zh-Hans"/>
              </w:rPr>
              <w:t>陈晨</w:t>
            </w:r>
          </w:p>
        </w:tc>
        <w:tc>
          <w:tcPr>
            <w:tcW w:w="802"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房产</w:t>
            </w:r>
          </w:p>
        </w:tc>
        <w:tc>
          <w:tcPr>
            <w:tcW w:w="1202"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遵房权证监字第201207152号</w:t>
            </w:r>
          </w:p>
        </w:tc>
        <w:tc>
          <w:tcPr>
            <w:tcW w:w="1594"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贵州省遵义市汇川区长沙路遵义汽车城A区A座1-8号房产</w:t>
            </w:r>
          </w:p>
        </w:tc>
        <w:tc>
          <w:tcPr>
            <w:tcW w:w="863" w:type="dxa"/>
            <w:tcBorders>
              <w:lef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sz w:val="21"/>
                <w:szCs w:val="21"/>
                <w:lang w:eastAsia="zh-Hans"/>
              </w:rPr>
              <w:t>商业用房</w:t>
            </w:r>
          </w:p>
        </w:tc>
        <w:tc>
          <w:tcPr>
            <w:tcW w:w="814"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spacing w:val="-4"/>
                <w:sz w:val="21"/>
                <w:szCs w:val="21"/>
              </w:rPr>
              <w:t>444.37㎡</w:t>
            </w:r>
          </w:p>
        </w:tc>
        <w:tc>
          <w:tcPr>
            <w:tcW w:w="1343" w:type="dxa"/>
            <w:vMerge w:val="continue"/>
            <w:vAlign w:val="center"/>
          </w:tcPr>
          <w:p>
            <w:pPr>
              <w:snapToGrid w:val="0"/>
              <w:spacing w:line="240" w:lineRule="auto"/>
              <w:ind w:firstLine="420"/>
              <w:jc w:val="center"/>
              <w:rPr>
                <w:rFonts w:hint="eastAsia" w:ascii="仿宋_GB2312" w:hAnsi="仿宋_GB2312" w:eastAsia="仿宋_GB2312" w:cs="仿宋_GB2312"/>
                <w:kern w:val="0"/>
                <w:sz w:val="21"/>
                <w:szCs w:val="21"/>
                <w:lang w:eastAsia="zh-Hans"/>
              </w:rPr>
            </w:pPr>
          </w:p>
        </w:tc>
        <w:tc>
          <w:tcPr>
            <w:tcW w:w="683"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第一顺位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11"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3</w:t>
            </w:r>
          </w:p>
        </w:tc>
        <w:tc>
          <w:tcPr>
            <w:tcW w:w="701" w:type="dxa"/>
            <w:tcBorders>
              <w:right w:val="single" w:color="auto" w:sz="4" w:space="0"/>
            </w:tcBorders>
            <w:vAlign w:val="center"/>
          </w:tcPr>
          <w:p>
            <w:pPr>
              <w:snapToGrid w:val="0"/>
              <w:spacing w:line="240" w:lineRule="auto"/>
              <w:ind w:firstLine="0" w:firstLineChars="0"/>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color w:val="000000"/>
                <w:kern w:val="0"/>
                <w:sz w:val="21"/>
                <w:szCs w:val="21"/>
                <w:lang w:eastAsia="zh-Hans"/>
              </w:rPr>
              <w:t>张婕</w:t>
            </w:r>
          </w:p>
        </w:tc>
        <w:tc>
          <w:tcPr>
            <w:tcW w:w="802"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房产</w:t>
            </w:r>
          </w:p>
        </w:tc>
        <w:tc>
          <w:tcPr>
            <w:tcW w:w="1202"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遵房权证监字第201207431号</w:t>
            </w:r>
          </w:p>
        </w:tc>
        <w:tc>
          <w:tcPr>
            <w:tcW w:w="1594"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贵州省遵义市汇川区长沙路遵义汽车城A区A座1-12号房产</w:t>
            </w:r>
          </w:p>
        </w:tc>
        <w:tc>
          <w:tcPr>
            <w:tcW w:w="863" w:type="dxa"/>
            <w:tcBorders>
              <w:lef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sz w:val="21"/>
                <w:szCs w:val="21"/>
                <w:lang w:eastAsia="zh-Hans"/>
              </w:rPr>
              <w:t>商业用房</w:t>
            </w:r>
          </w:p>
        </w:tc>
        <w:tc>
          <w:tcPr>
            <w:tcW w:w="814"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pacing w:val="-4"/>
                <w:sz w:val="21"/>
                <w:szCs w:val="21"/>
              </w:rPr>
              <w:t>534.99㎡</w:t>
            </w:r>
          </w:p>
        </w:tc>
        <w:tc>
          <w:tcPr>
            <w:tcW w:w="1343" w:type="dxa"/>
            <w:vMerge w:val="continue"/>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p>
        </w:tc>
        <w:tc>
          <w:tcPr>
            <w:tcW w:w="683"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第一顺位</w:t>
            </w:r>
          </w:p>
        </w:tc>
      </w:tr>
    </w:tbl>
    <w:p>
      <w:pPr>
        <w:ind w:left="0" w:leftChars="0" w:firstLine="320" w:firstLineChars="100"/>
        <w:rPr>
          <w:rFonts w:hint="eastAsia" w:ascii="楷体" w:hAnsi="楷体" w:eastAsia="楷体" w:cs="楷体"/>
          <w:szCs w:val="32"/>
        </w:rPr>
      </w:pPr>
      <w:r>
        <w:rPr>
          <w:rFonts w:hint="eastAsia" w:ascii="楷体" w:hAnsi="楷体" w:eastAsia="楷体" w:cs="楷体"/>
          <w:szCs w:val="32"/>
          <w:lang w:eastAsia="zh-CN"/>
        </w:rPr>
        <w:t>（</w:t>
      </w:r>
      <w:r>
        <w:rPr>
          <w:rFonts w:hint="eastAsia" w:ascii="楷体" w:hAnsi="楷体" w:eastAsia="楷体" w:cs="楷体"/>
          <w:szCs w:val="32"/>
          <w:lang w:val="en-US" w:eastAsia="zh-CN"/>
        </w:rPr>
        <w:t>二</w:t>
      </w:r>
      <w:r>
        <w:rPr>
          <w:rFonts w:hint="eastAsia" w:ascii="楷体" w:hAnsi="楷体" w:eastAsia="楷体" w:cs="楷体"/>
          <w:szCs w:val="32"/>
          <w:lang w:eastAsia="zh-CN"/>
        </w:rPr>
        <w:t>）</w:t>
      </w:r>
      <w:r>
        <w:rPr>
          <w:rFonts w:hint="eastAsia" w:ascii="楷体" w:hAnsi="楷体" w:eastAsia="楷体" w:cs="楷体"/>
          <w:szCs w:val="32"/>
        </w:rPr>
        <w:t>质押担保基本情况</w:t>
      </w:r>
    </w:p>
    <w:p>
      <w:pPr>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无。</w:t>
      </w:r>
    </w:p>
    <w:p>
      <w:pPr>
        <w:numPr>
          <w:ilvl w:val="0"/>
          <w:numId w:val="0"/>
        </w:numPr>
        <w:ind w:firstLine="320" w:firstLineChars="100"/>
        <w:rPr>
          <w:rFonts w:hint="eastAsia" w:ascii="楷体" w:hAnsi="楷体" w:eastAsia="楷体" w:cs="楷体"/>
          <w:szCs w:val="32"/>
        </w:rPr>
      </w:pPr>
      <w:r>
        <w:rPr>
          <w:rFonts w:hint="eastAsia" w:ascii="楷体" w:hAnsi="楷体" w:eastAsia="楷体" w:cs="楷体"/>
          <w:szCs w:val="32"/>
          <w:lang w:eastAsia="zh-CN"/>
        </w:rPr>
        <w:t>（</w:t>
      </w:r>
      <w:r>
        <w:rPr>
          <w:rFonts w:hint="eastAsia" w:ascii="楷体" w:hAnsi="楷体" w:eastAsia="楷体" w:cs="楷体"/>
          <w:szCs w:val="32"/>
          <w:lang w:val="en-US" w:eastAsia="zh-CN"/>
        </w:rPr>
        <w:t>三</w:t>
      </w:r>
      <w:r>
        <w:rPr>
          <w:rFonts w:hint="eastAsia" w:ascii="楷体" w:hAnsi="楷体" w:eastAsia="楷体" w:cs="楷体"/>
          <w:szCs w:val="32"/>
          <w:lang w:eastAsia="zh-CN"/>
        </w:rPr>
        <w:t>）</w:t>
      </w:r>
      <w:r>
        <w:rPr>
          <w:rFonts w:hint="eastAsia" w:ascii="楷体" w:hAnsi="楷体" w:eastAsia="楷体" w:cs="楷体"/>
          <w:szCs w:val="32"/>
        </w:rPr>
        <w:t>保证担保基本情况</w:t>
      </w:r>
    </w:p>
    <w:tbl>
      <w:tblPr>
        <w:tblStyle w:val="3"/>
        <w:tblW w:w="8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
        <w:gridCol w:w="490"/>
        <w:gridCol w:w="661"/>
        <w:gridCol w:w="642"/>
        <w:gridCol w:w="913"/>
        <w:gridCol w:w="2575"/>
        <w:gridCol w:w="690"/>
        <w:gridCol w:w="1346"/>
        <w:gridCol w:w="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4" w:type="dxa"/>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序号</w:t>
            </w:r>
          </w:p>
        </w:tc>
        <w:tc>
          <w:tcPr>
            <w:tcW w:w="490" w:type="dxa"/>
            <w:tcBorders>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lang w:eastAsia="zh-Hans"/>
              </w:rPr>
              <w:t>保证</w:t>
            </w:r>
            <w:r>
              <w:rPr>
                <w:rFonts w:hint="eastAsia" w:ascii="仿宋_GB2312" w:hAnsi="仿宋_GB2312" w:eastAsia="仿宋_GB2312" w:cs="仿宋_GB2312"/>
                <w:b/>
                <w:bCs/>
                <w:kern w:val="0"/>
                <w:sz w:val="21"/>
                <w:szCs w:val="21"/>
              </w:rPr>
              <w:t>人</w:t>
            </w:r>
          </w:p>
        </w:tc>
        <w:tc>
          <w:tcPr>
            <w:tcW w:w="661"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签订</w:t>
            </w:r>
          </w:p>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日期</w:t>
            </w:r>
          </w:p>
        </w:tc>
        <w:tc>
          <w:tcPr>
            <w:tcW w:w="642"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合同号</w:t>
            </w:r>
          </w:p>
        </w:tc>
        <w:tc>
          <w:tcPr>
            <w:tcW w:w="913"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对应借款合同号</w:t>
            </w:r>
          </w:p>
        </w:tc>
        <w:tc>
          <w:tcPr>
            <w:tcW w:w="2575" w:type="dxa"/>
            <w:tcBorders>
              <w:top w:val="single" w:color="auto" w:sz="4" w:space="0"/>
              <w:left w:val="single" w:color="auto" w:sz="4" w:space="0"/>
              <w:bottom w:val="single" w:color="auto" w:sz="4" w:space="0"/>
              <w:righ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担保范围</w:t>
            </w:r>
          </w:p>
        </w:tc>
        <w:tc>
          <w:tcPr>
            <w:tcW w:w="690" w:type="dxa"/>
            <w:tcBorders>
              <w:left w:val="single" w:color="auto" w:sz="4" w:space="0"/>
            </w:tcBorders>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保证方式</w:t>
            </w:r>
          </w:p>
        </w:tc>
        <w:tc>
          <w:tcPr>
            <w:tcW w:w="1346" w:type="dxa"/>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保证期间</w:t>
            </w:r>
          </w:p>
        </w:tc>
        <w:tc>
          <w:tcPr>
            <w:tcW w:w="742" w:type="dxa"/>
            <w:shd w:val="clear" w:color="auto" w:fill="D7D7D7"/>
            <w:vAlign w:val="center"/>
          </w:tcPr>
          <w:p>
            <w:pPr>
              <w:snapToGrid w:val="0"/>
              <w:spacing w:line="240" w:lineRule="auto"/>
              <w:ind w:firstLine="0" w:firstLineChars="0"/>
              <w:jc w:val="center"/>
              <w:rPr>
                <w:rFonts w:hint="eastAsia" w:ascii="仿宋_GB2312" w:hAnsi="仿宋_GB2312" w:eastAsia="仿宋_GB2312" w:cs="仿宋_GB2312"/>
                <w:b/>
                <w:bCs/>
                <w:kern w:val="0"/>
                <w:sz w:val="21"/>
                <w:szCs w:val="21"/>
                <w:lang w:eastAsia="zh-Hans"/>
              </w:rPr>
            </w:pPr>
            <w:r>
              <w:rPr>
                <w:rFonts w:hint="eastAsia" w:ascii="仿宋_GB2312" w:hAnsi="仿宋_GB2312" w:eastAsia="仿宋_GB2312" w:cs="仿宋_GB2312"/>
                <w:b/>
                <w:bCs/>
                <w:kern w:val="0"/>
                <w:sz w:val="21"/>
                <w:szCs w:val="21"/>
                <w:lang w:eastAsia="zh-Hans"/>
              </w:rPr>
              <w:t>股东会决议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4"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p>
        </w:tc>
        <w:tc>
          <w:tcPr>
            <w:tcW w:w="490" w:type="dxa"/>
            <w:tcBorders>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陈曲、易小平</w:t>
            </w:r>
          </w:p>
        </w:tc>
        <w:tc>
          <w:tcPr>
            <w:tcW w:w="66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2014/3/3</w:t>
            </w:r>
          </w:p>
        </w:tc>
        <w:tc>
          <w:tcPr>
            <w:tcW w:w="642"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color w:val="000000"/>
                <w:kern w:val="0"/>
                <w:sz w:val="21"/>
                <w:szCs w:val="21"/>
                <w:lang w:eastAsia="zh-Hans"/>
              </w:rPr>
            </w:pPr>
            <w:r>
              <w:rPr>
                <w:rFonts w:hint="eastAsia" w:ascii="仿宋_GB2312" w:hAnsi="仿宋_GB2312" w:eastAsia="仿宋_GB2312" w:cs="仿宋_GB2312"/>
                <w:sz w:val="21"/>
                <w:szCs w:val="21"/>
              </w:rPr>
              <w:t>农信社(2014)年最高额保证字0242号最高额保证合同》</w:t>
            </w:r>
          </w:p>
        </w:tc>
        <w:tc>
          <w:tcPr>
            <w:tcW w:w="913"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rPr>
              <w:t>汇农信社(2014)年授信字0242号授信合同</w:t>
            </w:r>
          </w:p>
        </w:tc>
        <w:tc>
          <w:tcPr>
            <w:tcW w:w="2575" w:type="dxa"/>
            <w:tcBorders>
              <w:top w:val="single" w:color="auto" w:sz="4" w:space="0"/>
              <w:left w:val="single" w:color="auto" w:sz="4" w:space="0"/>
              <w:right w:val="single" w:color="auto" w:sz="4" w:space="0"/>
            </w:tcBorders>
            <w:vAlign w:val="center"/>
          </w:tcPr>
          <w:p>
            <w:pPr>
              <w:snapToGrid w:val="0"/>
              <w:spacing w:line="240" w:lineRule="auto"/>
              <w:ind w:firstLine="0" w:firstLineChars="0"/>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包括主合同项下的最高额2000万元债权本金、利息、逾期利息、逾期罚息、复利、履行主合同和担保合同过程中发生的费用（包括但不限于律师费、交通费等）、债权人实现债权的费用（包括但不限于诉讼费、律师费、仲裁费、财产保全费、差旅费、执行费、评估费、拍卖费）等；</w:t>
            </w:r>
          </w:p>
        </w:tc>
        <w:tc>
          <w:tcPr>
            <w:tcW w:w="690" w:type="dxa"/>
            <w:tcBorders>
              <w:left w:val="single" w:color="auto" w:sz="4" w:space="0"/>
            </w:tcBorders>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连带责任</w:t>
            </w:r>
          </w:p>
        </w:tc>
        <w:tc>
          <w:tcPr>
            <w:tcW w:w="1346"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债权人对债务人每笔债务分别计算， 自每笔主合同签订之日起至该笔债务履行期限届满之日后两年止；</w:t>
            </w:r>
          </w:p>
        </w:tc>
        <w:tc>
          <w:tcPr>
            <w:tcW w:w="742" w:type="dxa"/>
            <w:vAlign w:val="center"/>
          </w:tcPr>
          <w:p>
            <w:pPr>
              <w:snapToGrid w:val="0"/>
              <w:spacing w:line="240" w:lineRule="auto"/>
              <w:ind w:firstLine="0" w:firstLineChars="0"/>
              <w:jc w:val="center"/>
              <w:rPr>
                <w:rFonts w:hint="eastAsia" w:ascii="仿宋_GB2312" w:hAnsi="仿宋_GB2312" w:eastAsia="仿宋_GB2312" w:cs="仿宋_GB2312"/>
                <w:kern w:val="0"/>
                <w:sz w:val="21"/>
                <w:szCs w:val="21"/>
                <w:lang w:eastAsia="zh-Hans"/>
              </w:rPr>
            </w:pPr>
            <w:r>
              <w:rPr>
                <w:rFonts w:hint="eastAsia" w:ascii="仿宋_GB2312" w:hAnsi="仿宋_GB2312" w:eastAsia="仿宋_GB2312" w:cs="仿宋_GB2312"/>
                <w:kern w:val="0"/>
                <w:sz w:val="21"/>
                <w:szCs w:val="21"/>
                <w:lang w:eastAsia="zh-Hans"/>
              </w:rPr>
              <w:t>/</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3000509000000000000"/>
    <w:charset w:val="86"/>
    <w:family w:val="script"/>
    <w:pitch w:val="default"/>
    <w:sig w:usb0="00000000" w:usb1="00000000" w:usb2="00000000" w:usb3="00000000" w:csb0="00040000" w:csb1="00000000"/>
  </w:font>
  <w:font w:name="方正楷体简体">
    <w:altName w:val="楷体_GB2312"/>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0CD69B"/>
    <w:multiLevelType w:val="singleLevel"/>
    <w:tmpl w:val="610CD69B"/>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I2OGEwMTA2NjVjOTIyNjUxMTQ2ZTJmNTU5ZTkifQ=="/>
  </w:docVars>
  <w:rsids>
    <w:rsidRoot w:val="62930993"/>
    <w:rsid w:val="0FAE6C29"/>
    <w:rsid w:val="581A7F84"/>
    <w:rsid w:val="62930993"/>
    <w:rsid w:val="7BDE5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622" w:firstLineChars="200"/>
      <w:jc w:val="both"/>
    </w:pPr>
    <w:rPr>
      <w:rFonts w:ascii="方正仿宋简体" w:hAnsi="Times New Roman" w:eastAsia="方正仿宋简体" w:cs="Times New Roman"/>
      <w:kern w:val="2"/>
      <w:sz w:val="32"/>
      <w:lang w:val="en-US" w:eastAsia="zh-CN" w:bidi="ar-SA"/>
    </w:rPr>
  </w:style>
  <w:style w:type="paragraph" w:styleId="2">
    <w:name w:val="heading 2"/>
    <w:basedOn w:val="1"/>
    <w:next w:val="1"/>
    <w:unhideWhenUsed/>
    <w:qFormat/>
    <w:uiPriority w:val="9"/>
    <w:pPr>
      <w:ind w:firstLine="640"/>
      <w:outlineLvl w:val="1"/>
    </w:pPr>
    <w:rPr>
      <w:rFonts w:ascii="方正楷体简体" w:eastAsia="方正楷体简体"/>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表格（小）"/>
    <w:basedOn w:val="1"/>
    <w:qFormat/>
    <w:uiPriority w:val="3"/>
    <w:pPr>
      <w:spacing w:line="240" w:lineRule="exact"/>
      <w:ind w:firstLine="0" w:firstLineChars="0"/>
    </w:pPr>
    <w:rPr>
      <w:rFonts w:hAnsi="仿宋"/>
      <w:sz w:val="21"/>
      <w:szCs w:val="21"/>
    </w:rPr>
  </w:style>
  <w:style w:type="table" w:customStyle="1" w:styleId="7">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3028</Words>
  <Characters>3806</Characters>
  <Lines>0</Lines>
  <Paragraphs>0</Paragraphs>
  <TotalTime>0</TotalTime>
  <ScaleCrop>false</ScaleCrop>
  <LinksUpToDate>false</LinksUpToDate>
  <CharactersWithSpaces>3812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2023-07-17T02:01:00Z</dcterms:created>
  <dc:creator>千年铬酸盐</dc:creator>
  <cp:lastModifiedBy>千年铬酸盐</cp:lastModifiedBy>
  <dcterms:modified xsi:type="dcterms:W3CDTF">2023-07-19T02:01:45Z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18C74BE7E442484385275E1160ABCCC7_11</vt:lpwstr>
  </property>
</Properties>
</file>