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3" w:line="219" w:lineRule="auto"/>
        <w:ind w:left="3756"/>
        <w:rPr>
          <w:rFonts w:ascii="宋体" w:hAnsi="宋体" w:eastAsia="宋体" w:cs="宋体"/>
          <w:sz w:val="47"/>
          <w:szCs w:val="47"/>
        </w:rPr>
      </w:pPr>
      <w:r>
        <w:rPr>
          <w:rFonts w:ascii="宋体" w:hAnsi="宋体" w:eastAsia="宋体" w:cs="宋体"/>
          <w:b/>
          <w:bCs/>
          <w:spacing w:val="-18"/>
          <w:sz w:val="47"/>
          <w:szCs w:val="47"/>
        </w:rPr>
        <w:t>承诺</w:t>
      </w:r>
      <w:r>
        <w:rPr>
          <w:rFonts w:hint="eastAsia" w:ascii="宋体" w:hAnsi="宋体" w:eastAsia="宋体" w:cs="宋体"/>
          <w:b/>
          <w:bCs/>
          <w:spacing w:val="-18"/>
          <w:sz w:val="47"/>
          <w:szCs w:val="47"/>
        </w:rPr>
        <w:t>书</w:t>
      </w:r>
    </w:p>
    <w:p>
      <w:pPr>
        <w:spacing w:line="245" w:lineRule="auto"/>
        <w:rPr>
          <w:rFonts w:ascii="仿宋_GB2312" w:hAnsi="仿宋_GB2312" w:eastAsia="仿宋_GB2312"/>
        </w:rPr>
      </w:pPr>
    </w:p>
    <w:p>
      <w:pPr>
        <w:spacing w:line="245" w:lineRule="auto"/>
        <w:rPr>
          <w:rFonts w:ascii="仿宋_GB2312" w:hAnsi="仿宋_GB2312" w:eastAsia="仿宋_GB2312"/>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贵州阳光产权交易所有限公司</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本单位现就购买</w:t>
      </w:r>
      <w:r>
        <w:rPr>
          <w:rFonts w:hint="eastAsia" w:ascii="仿宋_GB2312" w:hAnsi="仿宋_GB2312" w:eastAsia="仿宋_GB2312" w:cs="仿宋_GB2312"/>
          <w:sz w:val="32"/>
          <w:szCs w:val="32"/>
          <w:u w:val="single"/>
        </w:rPr>
        <w:t>中国东方资产管理股份有限公司广西壮族自治区分公司享有的遵义悦众汽车销售服务有限公司债权转让项目</w:t>
      </w:r>
      <w:r>
        <w:rPr>
          <w:rFonts w:hint="eastAsia" w:ascii="仿宋_GB2312" w:hAnsi="仿宋_GB2312" w:eastAsia="仿宋_GB2312" w:cs="仿宋_GB2312"/>
          <w:sz w:val="32"/>
          <w:szCs w:val="32"/>
        </w:rPr>
        <w:t>相关事项承诺如下:</w:t>
      </w: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本单位已充分了解该债权资产可能存在的瑕疵与风险，且了解到基于该债权资产的特性，该债权资产存在着部分或全部不能回收的风险性以及清收的困难性，自愿承担该债权资产的瑕疵和风险（包括但不限于预期利益无法实现的风险）。</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、本单位具备完全民事行为能力，同时满足法律、行政法规和司法解释所规定的购买该债权的资格或条件。</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本单位不为与标的物有利害关系的当事人（包括但不限于：债务人及担保人、债务人实际控制人、国家公务员、金融监管机构工作人员、政法干警、金融资产管理公司工作人员、债务人管理层、参与资产处置工作的律师、会计师、评估师等中介机构等关联人或者上述关联人参与的非金融机构法人；以及与不良债权转让的金融资产管理公司工作人员、债务人或者受托资产评估机构负责人员等有直系亲属关系的人员。）</w:t>
      </w:r>
      <w:bookmarkStart w:id="0" w:name="_GoBack"/>
      <w:bookmarkEnd w:id="0"/>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、本单位将按照购买该债权资产的有关法律、法规、政府部门的规定进行。</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、本单位自愿承担因开展收购和处置该债权资产而产生的任何风险与损失。</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val="0"/>
          <w:bCs w:val="0"/>
          <w:sz w:val="32"/>
          <w:szCs w:val="32"/>
          <w:lang w:val="en-US" w:eastAsia="zh-CN"/>
        </w:rPr>
        <w:t>六</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承诺，若本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被确定为最终受让方后未按照</w:t>
      </w:r>
      <w:r>
        <w:rPr>
          <w:rFonts w:hint="eastAsia" w:ascii="仿宋_GB2312" w:hAnsi="仿宋_GB2312" w:eastAsia="仿宋_GB2312" w:cs="仿宋_GB2312"/>
          <w:sz w:val="32"/>
          <w:szCs w:val="32"/>
          <w:lang w:val="en-US" w:eastAsia="zh-CN"/>
        </w:rPr>
        <w:t>公告</w:t>
      </w:r>
      <w:r>
        <w:rPr>
          <w:rFonts w:hint="eastAsia" w:ascii="仿宋_GB2312" w:hAnsi="仿宋_GB2312" w:eastAsia="仿宋_GB2312" w:cs="仿宋_GB2312"/>
          <w:sz w:val="32"/>
          <w:szCs w:val="32"/>
        </w:rPr>
        <w:t>、《受让申请书》、《交易保证金须知》的全部内容和要求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履行相应</w:t>
      </w:r>
      <w:r>
        <w:rPr>
          <w:rFonts w:hint="eastAsia" w:ascii="仿宋_GB2312" w:hAnsi="仿宋_GB2312" w:eastAsia="仿宋_GB2312" w:cs="仿宋_GB2312"/>
          <w:sz w:val="32"/>
          <w:szCs w:val="32"/>
          <w:lang w:val="en-US" w:eastAsia="zh-CN"/>
        </w:rPr>
        <w:t>的义务包括但不限于</w:t>
      </w:r>
      <w:r>
        <w:rPr>
          <w:rFonts w:hint="eastAsia" w:ascii="仿宋_GB2312" w:hAnsi="仿宋_GB2312" w:eastAsia="仿宋_GB2312" w:cs="仿宋_GB2312"/>
          <w:sz w:val="32"/>
          <w:szCs w:val="32"/>
        </w:rPr>
        <w:t>交纳交易服务费、签订《资产转让协议》、支付交易价款等</w:t>
      </w:r>
      <w:r>
        <w:rPr>
          <w:rFonts w:hint="eastAsia" w:ascii="仿宋_GB2312" w:hAnsi="仿宋_GB2312" w:eastAsia="仿宋_GB2312" w:cs="仿宋_GB2312"/>
          <w:b/>
          <w:bCs/>
          <w:sz w:val="32"/>
          <w:szCs w:val="32"/>
        </w:rPr>
        <w:t>，</w:t>
      </w:r>
      <w:r>
        <w:rPr>
          <w:rFonts w:hint="eastAsia" w:ascii="仿宋_GB2312" w:hAnsi="仿宋_GB2312" w:eastAsia="仿宋_GB2312" w:cs="仿宋_GB2312"/>
          <w:b w:val="0"/>
          <w:bCs w:val="0"/>
          <w:sz w:val="32"/>
          <w:szCs w:val="32"/>
          <w:lang w:val="en-US" w:eastAsia="zh-CN"/>
        </w:rPr>
        <w:t>本单位</w:t>
      </w:r>
      <w:r>
        <w:rPr>
          <w:rFonts w:hint="eastAsia" w:ascii="仿宋_GB2312" w:hAnsi="仿宋_GB2312" w:eastAsia="仿宋_GB2312" w:cs="仿宋_GB2312"/>
          <w:b w:val="0"/>
          <w:bCs w:val="0"/>
          <w:sz w:val="32"/>
          <w:szCs w:val="32"/>
        </w:rPr>
        <w:t>自愿将已支付的交易保证金全额作为违约金，由贵司全款扣收，我司不会以任何理由及形式向贵司主张退回该违约金。</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七</w:t>
      </w:r>
      <w:r>
        <w:rPr>
          <w:rFonts w:hint="eastAsia" w:ascii="仿宋_GB2312" w:hAnsi="仿宋_GB2312" w:eastAsia="仿宋_GB2312" w:cs="仿宋_GB2312"/>
          <w:sz w:val="32"/>
          <w:szCs w:val="32"/>
        </w:rPr>
        <w:t>、本单位对参与本次挂牌提交的相关资料真实性、合法性负责，并承担弄虚作假可能带来的一切法律责任。</w:t>
      </w:r>
    </w:p>
    <w:p>
      <w:pPr>
        <w:pStyle w:val="2"/>
        <w:rPr>
          <w:rFonts w:ascii="仿宋_GB2312" w:hAnsi="仿宋_GB2312" w:eastAsia="仿宋_GB2312"/>
          <w:sz w:val="32"/>
          <w:szCs w:val="32"/>
        </w:rPr>
      </w:pPr>
    </w:p>
    <w:p>
      <w:pPr>
        <w:pStyle w:val="2"/>
        <w:ind w:firstLine="3520" w:firstLineChars="1100"/>
      </w:pPr>
      <w:r>
        <w:rPr>
          <w:rFonts w:hint="eastAsia" w:ascii="仿宋_GB2312" w:hAnsi="仿宋_GB2312" w:eastAsia="仿宋_GB2312"/>
          <w:sz w:val="32"/>
          <w:szCs w:val="32"/>
        </w:rPr>
        <w:t xml:space="preserve">承诺人:(法人代表签字并加盖公章) </w:t>
      </w:r>
    </w:p>
    <w:p>
      <w:pPr>
        <w:spacing w:before="136" w:line="222" w:lineRule="auto"/>
        <w:ind w:firstLine="5274" w:firstLineChars="1628"/>
        <w:jc w:val="both"/>
        <w:rPr>
          <w:rFonts w:ascii="仿宋_GB2312" w:hAnsi="仿宋_GB2312" w:eastAsia="仿宋_GB2312" w:cs="仿宋"/>
          <w:spacing w:val="2"/>
          <w:sz w:val="32"/>
          <w:szCs w:val="32"/>
        </w:rPr>
      </w:pPr>
      <w:r>
        <w:rPr>
          <w:rFonts w:ascii="仿宋_GB2312" w:hAnsi="仿宋_GB2312" w:eastAsia="仿宋_GB2312" w:cs="仿宋"/>
          <w:spacing w:val="2"/>
          <w:sz w:val="32"/>
          <w:szCs w:val="32"/>
        </w:rPr>
        <w:t>202</w:t>
      </w:r>
      <w:r>
        <w:rPr>
          <w:rFonts w:hint="eastAsia" w:ascii="仿宋_GB2312" w:hAnsi="仿宋_GB2312" w:eastAsia="仿宋_GB2312" w:cs="仿宋"/>
          <w:spacing w:val="2"/>
          <w:sz w:val="32"/>
          <w:szCs w:val="32"/>
        </w:rPr>
        <w:t>3</w:t>
      </w:r>
      <w:r>
        <w:rPr>
          <w:rFonts w:ascii="仿宋_GB2312" w:hAnsi="仿宋_GB2312" w:eastAsia="仿宋_GB2312" w:cs="仿宋"/>
          <w:spacing w:val="2"/>
          <w:sz w:val="32"/>
          <w:szCs w:val="32"/>
        </w:rPr>
        <w:t>年</w:t>
      </w:r>
      <w:r>
        <w:rPr>
          <w:rFonts w:hint="eastAsia" w:ascii="仿宋_GB2312" w:hAnsi="仿宋_GB2312" w:eastAsia="仿宋_GB2312" w:cs="仿宋"/>
          <w:spacing w:val="2"/>
          <w:sz w:val="32"/>
          <w:szCs w:val="32"/>
        </w:rPr>
        <w:t xml:space="preserve">   </w:t>
      </w:r>
      <w:r>
        <w:rPr>
          <w:rFonts w:ascii="仿宋_GB2312" w:hAnsi="仿宋_GB2312" w:eastAsia="仿宋_GB2312" w:cs="仿宋"/>
          <w:spacing w:val="2"/>
          <w:sz w:val="32"/>
          <w:szCs w:val="32"/>
        </w:rPr>
        <w:t>月</w:t>
      </w:r>
      <w:r>
        <w:rPr>
          <w:rFonts w:hint="eastAsia" w:ascii="仿宋_GB2312" w:hAnsi="仿宋_GB2312" w:eastAsia="仿宋_GB2312" w:cs="仿宋"/>
          <w:spacing w:val="2"/>
          <w:sz w:val="32"/>
          <w:szCs w:val="32"/>
        </w:rPr>
        <w:t xml:space="preserve">   </w:t>
      </w:r>
      <w:r>
        <w:rPr>
          <w:rFonts w:ascii="仿宋_GB2312" w:hAnsi="仿宋_GB2312" w:eastAsia="仿宋_GB2312" w:cs="仿宋"/>
          <w:spacing w:val="2"/>
          <w:sz w:val="32"/>
          <w:szCs w:val="32"/>
        </w:rPr>
        <w:t>日</w:t>
      </w:r>
    </w:p>
    <w:sectPr>
      <w:pgSz w:w="12250" w:h="17070"/>
      <w:pgMar w:top="1440" w:right="1800" w:bottom="1440" w:left="1800"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1"/>
  <w:bordersDoNotSurroundFooter w:val="1"/>
  <w:documentProtection w:enforcement="0"/>
  <w:defaultTabStop w:val="420"/>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zFiMzI2OGEwMTA2NjVjOTIyNjUxMTQ2ZTJmNTU5ZTkifQ=="/>
  </w:docVars>
  <w:rsids>
    <w:rsidRoot w:val="004C354C"/>
    <w:rsid w:val="0010394A"/>
    <w:rsid w:val="001231CE"/>
    <w:rsid w:val="002527C6"/>
    <w:rsid w:val="00291B9E"/>
    <w:rsid w:val="002C40BC"/>
    <w:rsid w:val="002F18D9"/>
    <w:rsid w:val="00406077"/>
    <w:rsid w:val="004C354C"/>
    <w:rsid w:val="00517F4E"/>
    <w:rsid w:val="00631EB8"/>
    <w:rsid w:val="0065056D"/>
    <w:rsid w:val="006964FB"/>
    <w:rsid w:val="006C6319"/>
    <w:rsid w:val="007536BD"/>
    <w:rsid w:val="007B2488"/>
    <w:rsid w:val="007F0A28"/>
    <w:rsid w:val="009871EC"/>
    <w:rsid w:val="00B1393D"/>
    <w:rsid w:val="00C04A60"/>
    <w:rsid w:val="00C50F08"/>
    <w:rsid w:val="00C6204E"/>
    <w:rsid w:val="00DD7677"/>
    <w:rsid w:val="00E57806"/>
    <w:rsid w:val="00E640B6"/>
    <w:rsid w:val="00EE42D1"/>
    <w:rsid w:val="00FA12B3"/>
    <w:rsid w:val="00FA7686"/>
    <w:rsid w:val="041F2E39"/>
    <w:rsid w:val="083D5445"/>
    <w:rsid w:val="12D0352F"/>
    <w:rsid w:val="206A26F8"/>
    <w:rsid w:val="20E22BD6"/>
    <w:rsid w:val="26EE769E"/>
    <w:rsid w:val="34822315"/>
    <w:rsid w:val="35C94839"/>
    <w:rsid w:val="382D2775"/>
    <w:rsid w:val="4EF9194B"/>
    <w:rsid w:val="532B5688"/>
    <w:rsid w:val="6E0E5A3E"/>
    <w:rsid w:val="70972AB1"/>
    <w:rsid w:val="7F246F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unhideWhenUsed/>
    <w:qFormat/>
    <w:uiPriority w:val="99"/>
    <w:pPr>
      <w:kinsoku/>
      <w:autoSpaceDE/>
      <w:autoSpaceDN/>
      <w:adjustRightInd/>
      <w:snapToGrid/>
      <w:spacing w:before="100" w:beforeAutospacing="1" w:after="100" w:afterAutospacing="1"/>
      <w:textAlignment w:val="auto"/>
    </w:pPr>
    <w:rPr>
      <w:rFonts w:ascii="宋体" w:hAnsi="宋体" w:eastAsia="宋体" w:cs="宋体"/>
      <w:snapToGrid/>
      <w:color w:val="auto"/>
      <w:sz w:val="24"/>
      <w:szCs w:val="24"/>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668</Words>
  <Characters>672</Characters>
  <Lines>6</Lines>
  <Paragraphs>1</Paragraphs>
  <TotalTime>11</TotalTime>
  <ScaleCrop>false</ScaleCrop>
  <LinksUpToDate>false</LinksUpToDate>
  <CharactersWithSpaces>683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2023-06-05T06:55:00Z</dcterms:created>
  <dc:creator>Kingsoft-PDF</dc:creator>
  <cp:lastModifiedBy>千年铬酸盐</cp:lastModifiedBy>
  <cp:lastPrinted>2023-06-06T06:27:00Z</cp:lastPrinted>
  <dcterms:modified xsi:type="dcterms:W3CDTF">2023-07-19T01:41:34Z</dcterms:modified>
  <dc:subject>pdfbuilder</dc:subject>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2023-04-11T18:49:50Z</vt:filetime>
  </property>
  <property fmtid="{D5CDD505-2E9C-101B-9397-08002B2CF9AE}" pid="4" name="UsrData">
    <vt:lpwstr>64353b44a2d7b0001586e2a1</vt:lpwstr>
  </property>
  <property fmtid="{D5CDD505-2E9C-101B-9397-08002B2CF9AE}" pid="5" name="KSOProductBuildVer">
    <vt:lpwstr>2052-11.1.0.14309</vt:lpwstr>
  </property>
  <property fmtid="{D5CDD505-2E9C-101B-9397-08002B2CF9AE}" pid="6" name="ICV">
    <vt:lpwstr>69489EF55B2B42798567CA2BACDEC220_13</vt:lpwstr>
  </property>
</Properties>
</file>